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5FD5B" w14:textId="77777777" w:rsidR="00A355BD" w:rsidRDefault="00000000">
      <w:pPr>
        <w:ind w:rightChars="27" w:right="57"/>
        <w:rPr>
          <w:rFonts w:ascii="黑体" w:eastAsia="黑体" w:hAnsi="黑体" w:hint="eastAsia"/>
          <w:color w:val="000000" w:themeColor="text1"/>
          <w:sz w:val="32"/>
          <w:szCs w:val="32"/>
        </w:rPr>
      </w:pPr>
      <w:bookmarkStart w:id="0" w:name="正文"/>
      <w:r>
        <w:rPr>
          <w:rFonts w:ascii="黑体" w:eastAsia="黑体" w:hAnsi="黑体" w:hint="eastAsia"/>
          <w:color w:val="000000" w:themeColor="text1"/>
          <w:sz w:val="32"/>
          <w:szCs w:val="32"/>
        </w:rPr>
        <w:t>附件</w:t>
      </w:r>
    </w:p>
    <w:p w14:paraId="59357D80" w14:textId="77777777" w:rsidR="00A355BD" w:rsidRDefault="00000000">
      <w:pPr>
        <w:jc w:val="center"/>
        <w:rPr>
          <w:rFonts w:ascii="宋体" w:hAnsi="宋体" w:hint="eastAsia"/>
          <w:b/>
          <w:bCs/>
          <w:sz w:val="36"/>
          <w:szCs w:val="36"/>
        </w:rPr>
      </w:pPr>
      <w:r>
        <w:rPr>
          <w:rFonts w:ascii="宋体" w:hAnsi="宋体" w:hint="eastAsia"/>
          <w:b/>
          <w:bCs/>
          <w:sz w:val="36"/>
          <w:szCs w:val="36"/>
        </w:rPr>
        <w:t>课程大纲</w:t>
      </w:r>
    </w:p>
    <w:p w14:paraId="741C71A3" w14:textId="77777777" w:rsidR="00A355BD" w:rsidRDefault="00A355BD">
      <w:pPr>
        <w:jc w:val="center"/>
        <w:rPr>
          <w:rFonts w:ascii="宋体" w:hAnsi="宋体" w:hint="eastAsia"/>
          <w:b/>
          <w:bCs/>
          <w:sz w:val="36"/>
          <w:szCs w:val="36"/>
        </w:rPr>
      </w:pPr>
    </w:p>
    <w:p w14:paraId="024067C4" w14:textId="77777777" w:rsidR="00A355BD" w:rsidRDefault="00000000">
      <w:pPr>
        <w:spacing w:line="520" w:lineRule="exact"/>
        <w:ind w:firstLineChars="200" w:firstLine="640"/>
        <w:rPr>
          <w:rFonts w:ascii="黑体" w:eastAsia="黑体" w:hAnsi="黑体" w:hint="eastAsia"/>
          <w:color w:val="000000" w:themeColor="text1"/>
          <w:sz w:val="32"/>
          <w:szCs w:val="32"/>
        </w:rPr>
      </w:pPr>
      <w:r>
        <w:rPr>
          <w:rFonts w:ascii="黑体" w:eastAsia="黑体" w:hAnsi="黑体"/>
          <w:color w:val="000000" w:themeColor="text1"/>
          <w:sz w:val="32"/>
          <w:szCs w:val="32"/>
        </w:rPr>
        <w:t>模块一：产业篇—算力产业的基础体系与生态及市场前瞻</w:t>
      </w:r>
    </w:p>
    <w:p w14:paraId="7BD96CE4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1. 算力产业分层、全栈体系与2026年发展判断</w:t>
      </w:r>
    </w:p>
    <w:p w14:paraId="5F336ADA" w14:textId="77777777" w:rsidR="00A355BD" w:rsidRDefault="00000000">
      <w:pPr>
        <w:spacing w:line="520" w:lineRule="exact"/>
        <w:ind w:rightChars="-319" w:right="-670"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1.1 </w:t>
      </w:r>
      <w:r>
        <w:rPr>
          <w:rFonts w:ascii="仿宋" w:eastAsia="仿宋" w:hAnsi="仿宋"/>
          <w:color w:val="000000" w:themeColor="text1"/>
          <w:sz w:val="32"/>
          <w:szCs w:val="32"/>
        </w:rPr>
        <w:t>算力概念、分类与产业演进</w:t>
      </w:r>
    </w:p>
    <w:p w14:paraId="5297200F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1.2 算力行业分层梯队与产业角色</w:t>
      </w:r>
    </w:p>
    <w:p w14:paraId="0AB5CAC0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1.3 算力软硬件全栈技术框架</w:t>
      </w:r>
    </w:p>
    <w:p w14:paraId="7B2FDF6B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1.4 </w:t>
      </w:r>
      <w:r>
        <w:rPr>
          <w:rFonts w:ascii="仿宋" w:eastAsia="仿宋" w:hAnsi="仿宋"/>
          <w:color w:val="000000" w:themeColor="text1"/>
          <w:sz w:val="32"/>
          <w:szCs w:val="32"/>
        </w:rPr>
        <w:t>全国一体化算力网与政策导向</w:t>
      </w:r>
    </w:p>
    <w:p w14:paraId="769B0A7F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1.5 </w:t>
      </w:r>
      <w:r>
        <w:rPr>
          <w:rFonts w:ascii="仿宋" w:eastAsia="仿宋" w:hAnsi="仿宋"/>
          <w:color w:val="000000" w:themeColor="text1"/>
          <w:sz w:val="32"/>
          <w:szCs w:val="32"/>
        </w:rPr>
        <w:t>国产与海外算力生态现状</w:t>
      </w:r>
    </w:p>
    <w:p w14:paraId="34EEA971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1.6 </w:t>
      </w:r>
      <w:r>
        <w:rPr>
          <w:rFonts w:ascii="仿宋" w:eastAsia="仿宋" w:hAnsi="仿宋"/>
          <w:color w:val="000000" w:themeColor="text1"/>
          <w:sz w:val="32"/>
          <w:szCs w:val="32"/>
        </w:rPr>
        <w:t>2026年市场格局与项目机会判断</w:t>
      </w:r>
    </w:p>
    <w:p w14:paraId="42E71EE7" w14:textId="77777777" w:rsidR="00A355BD" w:rsidRDefault="00000000">
      <w:pPr>
        <w:spacing w:line="520" w:lineRule="exact"/>
        <w:ind w:firstLineChars="200" w:firstLine="640"/>
        <w:rPr>
          <w:rFonts w:ascii="黑体" w:eastAsia="黑体" w:hAnsi="黑体" w:hint="eastAsia"/>
          <w:color w:val="000000" w:themeColor="text1"/>
          <w:sz w:val="32"/>
          <w:szCs w:val="32"/>
        </w:rPr>
      </w:pPr>
      <w:r>
        <w:rPr>
          <w:rFonts w:ascii="黑体" w:eastAsia="黑体" w:hAnsi="黑体"/>
          <w:color w:val="000000" w:themeColor="text1"/>
          <w:sz w:val="32"/>
          <w:szCs w:val="32"/>
        </w:rPr>
        <w:t>模块二：设施篇—算力服务器与机房配套设施及选型配置</w:t>
      </w:r>
    </w:p>
    <w:p w14:paraId="37996F5E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2. 从计算负载到服务器、机柜、电力和冷却的工程匹配</w:t>
      </w:r>
    </w:p>
    <w:p w14:paraId="14522EC3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2.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1</w:t>
      </w:r>
      <w:r>
        <w:rPr>
          <w:rFonts w:ascii="仿宋" w:eastAsia="仿宋" w:hAnsi="仿宋"/>
          <w:color w:val="000000" w:themeColor="text1"/>
          <w:sz w:val="32"/>
          <w:szCs w:val="32"/>
        </w:rPr>
        <w:t>四类算力服务器运行逻辑</w:t>
      </w:r>
    </w:p>
    <w:p w14:paraId="2FD89880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2.2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</w:t>
      </w:r>
      <w:r>
        <w:rPr>
          <w:rFonts w:ascii="仿宋" w:eastAsia="仿宋" w:hAnsi="仿宋"/>
          <w:color w:val="000000" w:themeColor="text1"/>
          <w:sz w:val="32"/>
          <w:szCs w:val="32"/>
        </w:rPr>
        <w:t>AI训练服务器配置与选型</w:t>
      </w:r>
    </w:p>
    <w:p w14:paraId="235F400B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2.3 </w:t>
      </w:r>
      <w:r>
        <w:rPr>
          <w:rFonts w:ascii="仿宋" w:eastAsia="仿宋" w:hAnsi="仿宋"/>
          <w:color w:val="000000" w:themeColor="text1"/>
          <w:sz w:val="32"/>
          <w:szCs w:val="32"/>
        </w:rPr>
        <w:t>推理、通用与边缘服务器配置</w:t>
      </w:r>
    </w:p>
    <w:p w14:paraId="18289BCC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2.4 </w:t>
      </w:r>
      <w:r>
        <w:rPr>
          <w:rFonts w:ascii="仿宋" w:eastAsia="仿宋" w:hAnsi="仿宋"/>
          <w:color w:val="000000" w:themeColor="text1"/>
          <w:sz w:val="32"/>
          <w:szCs w:val="32"/>
        </w:rPr>
        <w:t>机房等级、环境与机柜规划</w:t>
      </w:r>
    </w:p>
    <w:p w14:paraId="68EDA49E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2.5 </w:t>
      </w:r>
      <w:r>
        <w:rPr>
          <w:rFonts w:ascii="仿宋" w:eastAsia="仿宋" w:hAnsi="仿宋"/>
          <w:color w:val="000000" w:themeColor="text1"/>
          <w:sz w:val="32"/>
          <w:szCs w:val="32"/>
        </w:rPr>
        <w:t>单机、机柜及园区供配电设计</w:t>
      </w:r>
    </w:p>
    <w:p w14:paraId="7FD1347C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2.6 </w:t>
      </w:r>
      <w:r>
        <w:rPr>
          <w:rFonts w:ascii="仿宋" w:eastAsia="仿宋" w:hAnsi="仿宋"/>
          <w:color w:val="000000" w:themeColor="text1"/>
          <w:sz w:val="32"/>
          <w:szCs w:val="32"/>
        </w:rPr>
        <w:t>风冷、液冷与混合冷却选型</w:t>
      </w:r>
    </w:p>
    <w:p w14:paraId="17D77941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2.7 </w:t>
      </w:r>
      <w:r>
        <w:rPr>
          <w:rFonts w:ascii="仿宋" w:eastAsia="仿宋" w:hAnsi="仿宋"/>
          <w:color w:val="000000" w:themeColor="text1"/>
          <w:sz w:val="32"/>
          <w:szCs w:val="32"/>
        </w:rPr>
        <w:t>设施选型校核与现场踏勘实操</w:t>
      </w:r>
    </w:p>
    <w:p w14:paraId="40535DFF" w14:textId="77777777" w:rsidR="00A355BD" w:rsidRDefault="00000000">
      <w:pPr>
        <w:spacing w:line="520" w:lineRule="exact"/>
        <w:ind w:firstLineChars="200" w:firstLine="640"/>
        <w:rPr>
          <w:rFonts w:ascii="黑体" w:eastAsia="黑体" w:hAnsi="黑体" w:hint="eastAsia"/>
          <w:color w:val="000000" w:themeColor="text1"/>
          <w:sz w:val="32"/>
          <w:szCs w:val="32"/>
        </w:rPr>
      </w:pPr>
      <w:r>
        <w:rPr>
          <w:rFonts w:ascii="黑体" w:eastAsia="黑体" w:hAnsi="黑体"/>
          <w:color w:val="000000" w:themeColor="text1"/>
          <w:sz w:val="32"/>
          <w:szCs w:val="32"/>
        </w:rPr>
        <w:t>模块三：设计篇—智算集群配置及组网与高可用方案设计</w:t>
      </w:r>
    </w:p>
    <w:p w14:paraId="5949DFFE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3.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</w:t>
      </w:r>
      <w:r>
        <w:rPr>
          <w:rFonts w:ascii="仿宋" w:eastAsia="仿宋" w:hAnsi="仿宋"/>
          <w:color w:val="000000" w:themeColor="text1"/>
          <w:sz w:val="32"/>
          <w:szCs w:val="32"/>
        </w:rPr>
        <w:t>从需求规格书到计算、网络、存储、平台与安全架构</w:t>
      </w:r>
    </w:p>
    <w:p w14:paraId="022303BF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3.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1 </w:t>
      </w:r>
      <w:r>
        <w:rPr>
          <w:rFonts w:ascii="仿宋" w:eastAsia="仿宋" w:hAnsi="仿宋"/>
          <w:color w:val="000000" w:themeColor="text1"/>
          <w:sz w:val="32"/>
          <w:szCs w:val="32"/>
        </w:rPr>
        <w:t>需求澄清与总体架构决策</w:t>
      </w:r>
    </w:p>
    <w:p w14:paraId="14535C27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3.2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</w:t>
      </w:r>
      <w:r>
        <w:rPr>
          <w:rFonts w:ascii="仿宋" w:eastAsia="仿宋" w:hAnsi="仿宋"/>
          <w:color w:val="000000" w:themeColor="text1"/>
          <w:sz w:val="32"/>
          <w:szCs w:val="32"/>
        </w:rPr>
        <w:t>计算集群与Scale-up设计</w:t>
      </w:r>
    </w:p>
    <w:p w14:paraId="5D030CA0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3.3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</w:t>
      </w:r>
      <w:r>
        <w:rPr>
          <w:rFonts w:ascii="仿宋" w:eastAsia="仿宋" w:hAnsi="仿宋"/>
          <w:color w:val="000000" w:themeColor="text1"/>
          <w:sz w:val="32"/>
          <w:szCs w:val="32"/>
        </w:rPr>
        <w:t>Scale-out高性能网络设计</w:t>
      </w:r>
    </w:p>
    <w:p w14:paraId="59083967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3.4 </w:t>
      </w:r>
      <w:r>
        <w:rPr>
          <w:rFonts w:ascii="仿宋" w:eastAsia="仿宋" w:hAnsi="仿宋"/>
          <w:color w:val="000000" w:themeColor="text1"/>
          <w:sz w:val="32"/>
          <w:szCs w:val="32"/>
        </w:rPr>
        <w:t>存储与数据供给系统设计</w:t>
      </w:r>
    </w:p>
    <w:p w14:paraId="2B8F181C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lastRenderedPageBreak/>
        <w:t xml:space="preserve">3.5 </w:t>
      </w:r>
      <w:r>
        <w:rPr>
          <w:rFonts w:ascii="仿宋" w:eastAsia="仿宋" w:hAnsi="仿宋"/>
          <w:color w:val="000000" w:themeColor="text1"/>
          <w:sz w:val="32"/>
          <w:szCs w:val="32"/>
        </w:rPr>
        <w:t>三网隔离、管理网络与跨域连接</w:t>
      </w:r>
    </w:p>
    <w:p w14:paraId="2B9CAF08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3.6 </w:t>
      </w:r>
      <w:r>
        <w:rPr>
          <w:rFonts w:ascii="仿宋" w:eastAsia="仿宋" w:hAnsi="仿宋"/>
          <w:color w:val="000000" w:themeColor="text1"/>
          <w:sz w:val="32"/>
          <w:szCs w:val="32"/>
        </w:rPr>
        <w:t>高可用、安全与容灾方案</w:t>
      </w:r>
    </w:p>
    <w:p w14:paraId="34F39CF9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3.7 </w:t>
      </w:r>
      <w:r>
        <w:rPr>
          <w:rFonts w:ascii="仿宋" w:eastAsia="仿宋" w:hAnsi="仿宋"/>
          <w:color w:val="000000" w:themeColor="text1"/>
          <w:sz w:val="32"/>
          <w:szCs w:val="32"/>
        </w:rPr>
        <w:t>可观测、容量与验收设计</w:t>
      </w:r>
    </w:p>
    <w:p w14:paraId="00D9D8D9" w14:textId="77777777" w:rsidR="00A355BD" w:rsidRDefault="00000000">
      <w:pPr>
        <w:spacing w:line="520" w:lineRule="exact"/>
        <w:ind w:firstLineChars="200" w:firstLine="640"/>
        <w:rPr>
          <w:rFonts w:ascii="黑体" w:eastAsia="黑体" w:hAnsi="黑体" w:hint="eastAsia"/>
          <w:color w:val="000000" w:themeColor="text1"/>
          <w:sz w:val="32"/>
          <w:szCs w:val="32"/>
        </w:rPr>
      </w:pPr>
      <w:r>
        <w:rPr>
          <w:rFonts w:ascii="黑体" w:eastAsia="黑体" w:hAnsi="黑体"/>
          <w:color w:val="000000" w:themeColor="text1"/>
          <w:sz w:val="32"/>
          <w:szCs w:val="32"/>
        </w:rPr>
        <w:t>模块四：项目篇—算力项目实施关键环节拆解及案例剖析</w:t>
      </w:r>
    </w:p>
    <w:p w14:paraId="4060AEE2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4.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</w:t>
      </w:r>
      <w:r>
        <w:rPr>
          <w:rFonts w:ascii="仿宋" w:eastAsia="仿宋" w:hAnsi="仿宋"/>
          <w:color w:val="000000" w:themeColor="text1"/>
          <w:sz w:val="32"/>
          <w:szCs w:val="32"/>
        </w:rPr>
        <w:t>复杂算力项目的实施、迁移、优化、改造与风险处置</w:t>
      </w:r>
    </w:p>
    <w:p w14:paraId="5821FAD4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4.1 算力项目全生命周期实施方法</w:t>
      </w:r>
    </w:p>
    <w:p w14:paraId="2AA07D72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4.2 万卡异构集群案例拆解</w:t>
      </w:r>
    </w:p>
    <w:p w14:paraId="69F93D80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4.3 “东数西算”绿色算力中心案例</w:t>
      </w:r>
    </w:p>
    <w:p w14:paraId="19B95575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4.4 </w:t>
      </w:r>
      <w:r>
        <w:rPr>
          <w:rFonts w:ascii="仿宋" w:eastAsia="仿宋" w:hAnsi="仿宋"/>
          <w:color w:val="000000" w:themeColor="text1"/>
          <w:sz w:val="32"/>
          <w:szCs w:val="32"/>
        </w:rPr>
        <w:t>集群迁移与业务割接案例</w:t>
      </w:r>
    </w:p>
    <w:p w14:paraId="761029F0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4.5 </w:t>
      </w:r>
      <w:r>
        <w:rPr>
          <w:rFonts w:ascii="仿宋" w:eastAsia="仿宋" w:hAnsi="仿宋"/>
          <w:color w:val="000000" w:themeColor="text1"/>
          <w:sz w:val="32"/>
          <w:szCs w:val="32"/>
        </w:rPr>
        <w:t>算力利用率优化案例</w:t>
      </w:r>
    </w:p>
    <w:p w14:paraId="6525E47B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4.6 </w:t>
      </w:r>
      <w:r>
        <w:rPr>
          <w:rFonts w:ascii="仿宋" w:eastAsia="仿宋" w:hAnsi="仿宋"/>
          <w:color w:val="000000" w:themeColor="text1"/>
          <w:sz w:val="32"/>
          <w:szCs w:val="32"/>
        </w:rPr>
        <w:t>国产化兼容改造案例</w:t>
      </w:r>
    </w:p>
    <w:p w14:paraId="79BB2C1B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4.7 </w:t>
      </w:r>
      <w:r>
        <w:rPr>
          <w:rFonts w:ascii="仿宋" w:eastAsia="仿宋" w:hAnsi="仿宋"/>
          <w:color w:val="000000" w:themeColor="text1"/>
          <w:sz w:val="32"/>
          <w:szCs w:val="32"/>
        </w:rPr>
        <w:t>成本、质量与风险一体化管控</w:t>
      </w:r>
    </w:p>
    <w:p w14:paraId="1C97F774" w14:textId="77777777" w:rsidR="00A355BD" w:rsidRDefault="00000000">
      <w:pPr>
        <w:spacing w:line="520" w:lineRule="exact"/>
        <w:ind w:firstLineChars="200" w:firstLine="640"/>
        <w:rPr>
          <w:rFonts w:ascii="黑体" w:eastAsia="黑体" w:hAnsi="黑体" w:hint="eastAsia"/>
          <w:color w:val="000000" w:themeColor="text1"/>
          <w:sz w:val="32"/>
          <w:szCs w:val="32"/>
        </w:rPr>
      </w:pPr>
      <w:r>
        <w:rPr>
          <w:rFonts w:ascii="黑体" w:eastAsia="黑体" w:hAnsi="黑体"/>
          <w:color w:val="000000" w:themeColor="text1"/>
          <w:sz w:val="32"/>
          <w:szCs w:val="32"/>
        </w:rPr>
        <w:t>模块五：商务篇—算力项目招投标与合同把控全流程实操</w:t>
      </w:r>
    </w:p>
    <w:p w14:paraId="0CFCE97F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5. 四类采购模式的评分应答、合规审查与合同风险控制</w:t>
      </w:r>
    </w:p>
    <w:p w14:paraId="5D966422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5.1 四类算力招标业务识别</w:t>
      </w:r>
    </w:p>
    <w:p w14:paraId="6D8C52A0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5.2 招标文件解构与评分作战图</w:t>
      </w:r>
    </w:p>
    <w:p w14:paraId="3B4AC201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5.3 硬件采购与算力租赁投标要点</w:t>
      </w:r>
    </w:p>
    <w:p w14:paraId="3E018032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5.4 </w:t>
      </w:r>
      <w:r>
        <w:rPr>
          <w:rFonts w:ascii="仿宋" w:eastAsia="仿宋" w:hAnsi="仿宋"/>
          <w:color w:val="000000" w:themeColor="text1"/>
          <w:sz w:val="32"/>
          <w:szCs w:val="32"/>
        </w:rPr>
        <w:t>EPC总包与平台运维投标要点</w:t>
      </w:r>
    </w:p>
    <w:p w14:paraId="5A9FE437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5.5 </w:t>
      </w:r>
      <w:r>
        <w:rPr>
          <w:rFonts w:ascii="仿宋" w:eastAsia="仿宋" w:hAnsi="仿宋"/>
          <w:color w:val="000000" w:themeColor="text1"/>
          <w:sz w:val="32"/>
          <w:szCs w:val="32"/>
        </w:rPr>
        <w:t>国产化指标与废标雷区</w:t>
      </w:r>
    </w:p>
    <w:p w14:paraId="4302FAF5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5.6 </w:t>
      </w:r>
      <w:r>
        <w:rPr>
          <w:rFonts w:ascii="仿宋" w:eastAsia="仿宋" w:hAnsi="仿宋"/>
          <w:color w:val="000000" w:themeColor="text1"/>
          <w:sz w:val="32"/>
          <w:szCs w:val="32"/>
        </w:rPr>
        <w:t>合同关键条款与履约边界</w:t>
      </w:r>
    </w:p>
    <w:p w14:paraId="64624ED6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5.7 </w:t>
      </w:r>
      <w:r>
        <w:rPr>
          <w:rFonts w:ascii="仿宋" w:eastAsia="仿宋" w:hAnsi="仿宋"/>
          <w:color w:val="000000" w:themeColor="text1"/>
          <w:sz w:val="32"/>
          <w:szCs w:val="32"/>
        </w:rPr>
        <w:t>合同评审与谈判实操</w:t>
      </w:r>
    </w:p>
    <w:p w14:paraId="2A774CAC" w14:textId="77777777" w:rsidR="00A355BD" w:rsidRDefault="00000000">
      <w:pPr>
        <w:spacing w:line="520" w:lineRule="exact"/>
        <w:ind w:firstLineChars="200" w:firstLine="640"/>
        <w:rPr>
          <w:rFonts w:ascii="黑体" w:eastAsia="黑体" w:hAnsi="黑体" w:hint="eastAsia"/>
          <w:color w:val="000000" w:themeColor="text1"/>
          <w:sz w:val="32"/>
          <w:szCs w:val="32"/>
        </w:rPr>
      </w:pPr>
      <w:r>
        <w:rPr>
          <w:rFonts w:ascii="黑体" w:eastAsia="黑体" w:hAnsi="黑体"/>
          <w:color w:val="000000" w:themeColor="text1"/>
          <w:sz w:val="32"/>
          <w:szCs w:val="32"/>
        </w:rPr>
        <w:t>模块六：撰写篇—招投标技术与商务标书及报价方案撰写</w:t>
      </w:r>
    </w:p>
    <w:p w14:paraId="3DC52FA9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6.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</w:t>
      </w:r>
      <w:r>
        <w:rPr>
          <w:rFonts w:ascii="仿宋" w:eastAsia="仿宋" w:hAnsi="仿宋"/>
          <w:color w:val="000000" w:themeColor="text1"/>
          <w:sz w:val="32"/>
          <w:szCs w:val="32"/>
        </w:rPr>
        <w:t>从商机解读、需求测算到技术商务标书和报价清单</w:t>
      </w:r>
    </w:p>
    <w:p w14:paraId="50C243AE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6.1 客户商机分析与需求访谈</w:t>
      </w:r>
    </w:p>
    <w:p w14:paraId="47AB4985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6.2 标准解决方案框架设计</w:t>
      </w:r>
    </w:p>
    <w:p w14:paraId="11304EF5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6.3 技术章节高质量撰写</w:t>
      </w:r>
    </w:p>
    <w:p w14:paraId="0551C61A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lastRenderedPageBreak/>
        <w:t xml:space="preserve">6.4 </w:t>
      </w:r>
      <w:r>
        <w:rPr>
          <w:rFonts w:ascii="仿宋" w:eastAsia="仿宋" w:hAnsi="仿宋"/>
          <w:color w:val="000000" w:themeColor="text1"/>
          <w:sz w:val="32"/>
          <w:szCs w:val="32"/>
        </w:rPr>
        <w:t>实施、服务与验收章节撰写</w:t>
      </w:r>
    </w:p>
    <w:p w14:paraId="2D2996A8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6.5 </w:t>
      </w:r>
      <w:r>
        <w:rPr>
          <w:rFonts w:ascii="仿宋" w:eastAsia="仿宋" w:hAnsi="仿宋"/>
          <w:color w:val="000000" w:themeColor="text1"/>
          <w:sz w:val="32"/>
          <w:szCs w:val="32"/>
        </w:rPr>
        <w:t>商务、资信与证明材料组织</w:t>
      </w:r>
    </w:p>
    <w:p w14:paraId="2F858240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6.6 </w:t>
      </w:r>
      <w:r>
        <w:rPr>
          <w:rFonts w:ascii="仿宋" w:eastAsia="仿宋" w:hAnsi="仿宋"/>
          <w:color w:val="000000" w:themeColor="text1"/>
          <w:sz w:val="32"/>
          <w:szCs w:val="32"/>
        </w:rPr>
        <w:t>BOM、TCO与报价方案撰写</w:t>
      </w:r>
    </w:p>
    <w:p w14:paraId="2FE29536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6.7 </w:t>
      </w:r>
      <w:r>
        <w:rPr>
          <w:rFonts w:ascii="仿宋" w:eastAsia="仿宋" w:hAnsi="仿宋"/>
          <w:color w:val="000000" w:themeColor="text1"/>
          <w:sz w:val="32"/>
          <w:szCs w:val="32"/>
        </w:rPr>
        <w:t>标书质检、讲标与答疑</w:t>
      </w:r>
    </w:p>
    <w:p w14:paraId="228308CB" w14:textId="77777777" w:rsidR="00A355BD" w:rsidRDefault="00000000">
      <w:pPr>
        <w:spacing w:line="520" w:lineRule="exact"/>
        <w:ind w:firstLineChars="200" w:firstLine="640"/>
        <w:rPr>
          <w:rFonts w:ascii="黑体" w:eastAsia="黑体" w:hAnsi="黑体" w:hint="eastAsia"/>
          <w:color w:val="000000" w:themeColor="text1"/>
          <w:sz w:val="32"/>
          <w:szCs w:val="32"/>
        </w:rPr>
      </w:pPr>
      <w:r>
        <w:rPr>
          <w:rFonts w:ascii="黑体" w:eastAsia="黑体" w:hAnsi="黑体"/>
          <w:color w:val="000000" w:themeColor="text1"/>
          <w:sz w:val="32"/>
          <w:szCs w:val="32"/>
        </w:rPr>
        <w:t>模块七：运营篇—算力运营产品设计定价套餐及业务拓展</w:t>
      </w:r>
    </w:p>
    <w:p w14:paraId="17F514DD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7.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</w:t>
      </w:r>
      <w:r>
        <w:rPr>
          <w:rFonts w:ascii="仿宋" w:eastAsia="仿宋" w:hAnsi="仿宋"/>
          <w:color w:val="000000" w:themeColor="text1"/>
          <w:sz w:val="32"/>
          <w:szCs w:val="32"/>
        </w:rPr>
        <w:t>从资源出租到Token、套餐、客户成功和经营闭环</w:t>
      </w:r>
    </w:p>
    <w:p w14:paraId="302E0FD8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7.1 算力商业化运营体系</w:t>
      </w:r>
    </w:p>
    <w:p w14:paraId="722295BA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7.2 训练算力与通用算力定价</w:t>
      </w:r>
    </w:p>
    <w:p w14:paraId="33D6EC9E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7.3 推理与Token一体化运营</w:t>
      </w:r>
    </w:p>
    <w:p w14:paraId="5740408A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7.4 </w:t>
      </w:r>
      <w:r>
        <w:rPr>
          <w:rFonts w:ascii="仿宋" w:eastAsia="仿宋" w:hAnsi="仿宋"/>
          <w:color w:val="000000" w:themeColor="text1"/>
          <w:sz w:val="32"/>
          <w:szCs w:val="32"/>
        </w:rPr>
        <w:t>创新套餐设计实操</w:t>
      </w:r>
    </w:p>
    <w:p w14:paraId="56F8D17D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7.5 </w:t>
      </w:r>
      <w:r>
        <w:rPr>
          <w:rFonts w:ascii="仿宋" w:eastAsia="仿宋" w:hAnsi="仿宋"/>
          <w:color w:val="000000" w:themeColor="text1"/>
          <w:sz w:val="32"/>
          <w:szCs w:val="32"/>
        </w:rPr>
        <w:t>成本测算与盈利模型</w:t>
      </w:r>
    </w:p>
    <w:p w14:paraId="22897CB5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7.6 </w:t>
      </w:r>
      <w:r>
        <w:rPr>
          <w:rFonts w:ascii="仿宋" w:eastAsia="仿宋" w:hAnsi="仿宋"/>
          <w:color w:val="000000" w:themeColor="text1"/>
          <w:sz w:val="32"/>
          <w:szCs w:val="32"/>
        </w:rPr>
        <w:t>客户分层、卖点打造与业务拓展</w:t>
      </w:r>
    </w:p>
    <w:p w14:paraId="0F81EC7F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7.7 </w:t>
      </w:r>
      <w:r>
        <w:rPr>
          <w:rFonts w:ascii="仿宋" w:eastAsia="仿宋" w:hAnsi="仿宋"/>
          <w:color w:val="000000" w:themeColor="text1"/>
          <w:sz w:val="32"/>
          <w:szCs w:val="32"/>
        </w:rPr>
        <w:t>运营指标、风险与持续优化</w:t>
      </w:r>
    </w:p>
    <w:p w14:paraId="065A7538" w14:textId="77777777" w:rsidR="00A355BD" w:rsidRDefault="00000000">
      <w:pPr>
        <w:spacing w:line="520" w:lineRule="exact"/>
        <w:ind w:firstLineChars="200" w:firstLine="640"/>
        <w:rPr>
          <w:rFonts w:ascii="黑体" w:eastAsia="黑体" w:hAnsi="黑体" w:hint="eastAsia"/>
          <w:color w:val="000000" w:themeColor="text1"/>
          <w:sz w:val="32"/>
          <w:szCs w:val="32"/>
        </w:rPr>
      </w:pPr>
      <w:r>
        <w:rPr>
          <w:rFonts w:ascii="黑体" w:eastAsia="黑体" w:hAnsi="黑体"/>
          <w:color w:val="000000" w:themeColor="text1"/>
          <w:sz w:val="32"/>
          <w:szCs w:val="32"/>
        </w:rPr>
        <w:t>模块八：实战篇—智算项目全生命周期案例拆解实战演练</w:t>
      </w:r>
    </w:p>
    <w:p w14:paraId="574F97D8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8. 深圳政务智能算力服务案例拆解与行业项目沙盘</w:t>
      </w:r>
    </w:p>
    <w:p w14:paraId="238123A5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8.1 招标案例快速阅读与项目画像</w:t>
      </w:r>
    </w:p>
    <w:p w14:paraId="2C41332E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8.2 本地化与专区混合部署方案</w:t>
      </w:r>
    </w:p>
    <w:p w14:paraId="5C553510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t>8.3 异构算力、存储与调度平台方案</w:t>
      </w:r>
    </w:p>
    <w:p w14:paraId="4BE1A059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8.4 </w:t>
      </w:r>
      <w:r>
        <w:rPr>
          <w:rFonts w:ascii="仿宋" w:eastAsia="仿宋" w:hAnsi="仿宋"/>
          <w:color w:val="000000" w:themeColor="text1"/>
          <w:sz w:val="32"/>
          <w:szCs w:val="32"/>
        </w:rPr>
        <w:t>评分应答、演示与证据链实操</w:t>
      </w:r>
    </w:p>
    <w:p w14:paraId="29D141A3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8.5 </w:t>
      </w:r>
      <w:r>
        <w:rPr>
          <w:rFonts w:ascii="仿宋" w:eastAsia="仿宋" w:hAnsi="仿宋"/>
          <w:color w:val="000000" w:themeColor="text1"/>
          <w:sz w:val="32"/>
          <w:szCs w:val="32"/>
        </w:rPr>
        <w:t>交付、扩容、验收与合同风险</w:t>
      </w:r>
    </w:p>
    <w:p w14:paraId="5BCFD2BE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8.6 </w:t>
      </w:r>
      <w:r>
        <w:rPr>
          <w:rFonts w:ascii="仿宋" w:eastAsia="仿宋" w:hAnsi="仿宋"/>
          <w:color w:val="000000" w:themeColor="text1"/>
          <w:sz w:val="32"/>
          <w:szCs w:val="32"/>
        </w:rPr>
        <w:t>行业场景分组方案实操</w:t>
      </w:r>
    </w:p>
    <w:p w14:paraId="4ED4BCA2" w14:textId="77777777" w:rsidR="00A355BD" w:rsidRDefault="00000000">
      <w:pPr>
        <w:spacing w:line="52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8.7 </w:t>
      </w:r>
      <w:r>
        <w:rPr>
          <w:rFonts w:ascii="仿宋" w:eastAsia="仿宋" w:hAnsi="仿宋"/>
          <w:color w:val="000000" w:themeColor="text1"/>
          <w:sz w:val="32"/>
          <w:szCs w:val="32"/>
        </w:rPr>
        <w:t>讲标答辩、专家质询与复盘</w:t>
      </w:r>
    </w:p>
    <w:p w14:paraId="5255651F" w14:textId="77777777" w:rsidR="00A355BD" w:rsidRDefault="00A355BD">
      <w:pPr>
        <w:ind w:firstLine="420"/>
        <w:rPr>
          <w:rFonts w:ascii="微软雅黑" w:eastAsia="微软雅黑" w:hAnsi="微软雅黑" w:hint="eastAsia"/>
          <w:sz w:val="32"/>
          <w:szCs w:val="32"/>
        </w:rPr>
      </w:pPr>
    </w:p>
    <w:p w14:paraId="31154109" w14:textId="77777777" w:rsidR="00A355BD" w:rsidRDefault="00A355BD">
      <w:pPr>
        <w:rPr>
          <w:rFonts w:ascii="宋体" w:hAnsi="宋体" w:hint="eastAsia"/>
        </w:rPr>
      </w:pPr>
    </w:p>
    <w:p w14:paraId="176CC9E4" w14:textId="77777777" w:rsidR="00A355BD" w:rsidRDefault="00000000">
      <w:pPr>
        <w:tabs>
          <w:tab w:val="left" w:pos="1755"/>
        </w:tabs>
        <w:jc w:val="right"/>
        <w:rPr>
          <w:rFonts w:asciiTheme="minorEastAsia" w:eastAsiaTheme="minorEastAsia" w:hAnsiTheme="minorEastAsia" w:hint="eastAsia"/>
          <w:sz w:val="32"/>
          <w:szCs w:val="32"/>
        </w:rPr>
      </w:pPr>
      <w:r>
        <w:tab/>
      </w:r>
      <w:r>
        <w:rPr>
          <w:rFonts w:asciiTheme="minorEastAsia" w:eastAsiaTheme="minorEastAsia" w:hAnsiTheme="minorEastAsia" w:hint="eastAsia"/>
          <w:sz w:val="32"/>
          <w:szCs w:val="32"/>
        </w:rPr>
        <w:tab/>
      </w:r>
    </w:p>
    <w:bookmarkEnd w:id="0"/>
    <w:p w14:paraId="13392B52" w14:textId="77777777" w:rsidR="00A355BD" w:rsidRDefault="00A355BD">
      <w:pPr>
        <w:spacing w:line="20" w:lineRule="exact"/>
        <w:rPr>
          <w:rFonts w:ascii="宋体" w:hAnsi="宋体" w:hint="eastAsia"/>
        </w:rPr>
      </w:pPr>
    </w:p>
    <w:sectPr w:rsidR="00A355BD">
      <w:headerReference w:type="default" r:id="rId7"/>
      <w:footerReference w:type="default" r:id="rId8"/>
      <w:pgSz w:w="11906" w:h="16838"/>
      <w:pgMar w:top="1440" w:right="1417" w:bottom="1440" w:left="141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15723" w14:textId="77777777" w:rsidR="002C56A5" w:rsidRDefault="002C56A5">
      <w:r>
        <w:separator/>
      </w:r>
    </w:p>
  </w:endnote>
  <w:endnote w:type="continuationSeparator" w:id="0">
    <w:p w14:paraId="2B8926AC" w14:textId="77777777" w:rsidR="002C56A5" w:rsidRDefault="002C5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F710D" w14:textId="77777777" w:rsidR="00A355BD" w:rsidRDefault="00000000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B58AE9" wp14:editId="009F02A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326390" cy="1828800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6390" cy="1828800"/>
                      </a:xfrm>
                      <a:prstGeom prst="rect">
                        <a:avLst/>
                      </a:prstGeom>
                      <a:noFill/>
                      <a:ln w="22225">
                        <a:noFill/>
                      </a:ln>
                    </wps:spPr>
                    <wps:txbx>
                      <w:txbxContent>
                        <w:p w14:paraId="1DA273E1" w14:textId="77777777" w:rsidR="00A355BD" w:rsidRDefault="00000000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fldSimple w:instr=" NUMPAGES  \* MERGEFORMAT ">
                            <w:r>
                              <w:t>10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B58AE9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5.7pt;height:2in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" filled="f" stroked="f" strokeweight="1.75pt">
              <v:textbox style="mso-fit-shape-to-text:t" inset="0,0,0,0">
                <w:txbxContent>
                  <w:p w14:paraId="1DA273E1" w14:textId="77777777" w:rsidR="00A355BD" w:rsidRDefault="00000000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fldSimple w:instr=" NUMPAGES  \* MERGEFORMAT ">
                      <w:r>
                        <w:t>10</w:t>
                      </w:r>
                    </w:fldSimple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C8A55" w14:textId="77777777" w:rsidR="002C56A5" w:rsidRDefault="002C56A5">
      <w:r>
        <w:separator/>
      </w:r>
    </w:p>
  </w:footnote>
  <w:footnote w:type="continuationSeparator" w:id="0">
    <w:p w14:paraId="48D8FB2A" w14:textId="77777777" w:rsidR="002C56A5" w:rsidRDefault="002C5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DEA05" w14:textId="77777777" w:rsidR="00A355BD" w:rsidRDefault="00A355BD">
    <w:pPr>
      <w:pStyle w:val="a9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 strokecolor="red">
      <v:fill color="white"/>
      <v:stroke color="red" weight="1.7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5B46"/>
    <w:rsid w:val="00015B6C"/>
    <w:rsid w:val="00023B93"/>
    <w:rsid w:val="00067711"/>
    <w:rsid w:val="0007210F"/>
    <w:rsid w:val="00081488"/>
    <w:rsid w:val="000A6956"/>
    <w:rsid w:val="000B6892"/>
    <w:rsid w:val="000D010F"/>
    <w:rsid w:val="000F6398"/>
    <w:rsid w:val="00103E4D"/>
    <w:rsid w:val="001115B2"/>
    <w:rsid w:val="001141CE"/>
    <w:rsid w:val="00132466"/>
    <w:rsid w:val="0016647B"/>
    <w:rsid w:val="00172814"/>
    <w:rsid w:val="00187751"/>
    <w:rsid w:val="001D1342"/>
    <w:rsid w:val="001F2D21"/>
    <w:rsid w:val="0021196B"/>
    <w:rsid w:val="00222A37"/>
    <w:rsid w:val="00233382"/>
    <w:rsid w:val="00245714"/>
    <w:rsid w:val="00275E83"/>
    <w:rsid w:val="002911BF"/>
    <w:rsid w:val="002C56A5"/>
    <w:rsid w:val="002D1ACA"/>
    <w:rsid w:val="002D4228"/>
    <w:rsid w:val="002D6E12"/>
    <w:rsid w:val="003036C3"/>
    <w:rsid w:val="00331228"/>
    <w:rsid w:val="00343520"/>
    <w:rsid w:val="00345540"/>
    <w:rsid w:val="00354E3E"/>
    <w:rsid w:val="00357722"/>
    <w:rsid w:val="00357A4B"/>
    <w:rsid w:val="0037635C"/>
    <w:rsid w:val="00381610"/>
    <w:rsid w:val="00393E73"/>
    <w:rsid w:val="003964D3"/>
    <w:rsid w:val="00396736"/>
    <w:rsid w:val="003B1360"/>
    <w:rsid w:val="003B66A6"/>
    <w:rsid w:val="003D038A"/>
    <w:rsid w:val="003E0D03"/>
    <w:rsid w:val="003E3A70"/>
    <w:rsid w:val="003E7DF8"/>
    <w:rsid w:val="003F6376"/>
    <w:rsid w:val="00403FB5"/>
    <w:rsid w:val="0042249E"/>
    <w:rsid w:val="0042667B"/>
    <w:rsid w:val="00430ADA"/>
    <w:rsid w:val="00440140"/>
    <w:rsid w:val="00482CE1"/>
    <w:rsid w:val="004B03D9"/>
    <w:rsid w:val="004C21F0"/>
    <w:rsid w:val="004C65FD"/>
    <w:rsid w:val="004D41B3"/>
    <w:rsid w:val="004D5601"/>
    <w:rsid w:val="00566E2C"/>
    <w:rsid w:val="00573A4C"/>
    <w:rsid w:val="005822E0"/>
    <w:rsid w:val="00584BF7"/>
    <w:rsid w:val="005A6185"/>
    <w:rsid w:val="005A642F"/>
    <w:rsid w:val="006476E7"/>
    <w:rsid w:val="0068712C"/>
    <w:rsid w:val="006A2F96"/>
    <w:rsid w:val="006E2EDA"/>
    <w:rsid w:val="006F2181"/>
    <w:rsid w:val="007175BE"/>
    <w:rsid w:val="00727583"/>
    <w:rsid w:val="00745E85"/>
    <w:rsid w:val="00745F5D"/>
    <w:rsid w:val="00763647"/>
    <w:rsid w:val="007965BB"/>
    <w:rsid w:val="007B5ED0"/>
    <w:rsid w:val="007C3FA1"/>
    <w:rsid w:val="007E5E6B"/>
    <w:rsid w:val="008055BB"/>
    <w:rsid w:val="008235B4"/>
    <w:rsid w:val="00823A60"/>
    <w:rsid w:val="0083305A"/>
    <w:rsid w:val="00841377"/>
    <w:rsid w:val="00844A40"/>
    <w:rsid w:val="00844E68"/>
    <w:rsid w:val="00864B7A"/>
    <w:rsid w:val="00876792"/>
    <w:rsid w:val="008909A4"/>
    <w:rsid w:val="008B479C"/>
    <w:rsid w:val="008B7B83"/>
    <w:rsid w:val="008D20D4"/>
    <w:rsid w:val="008D4980"/>
    <w:rsid w:val="008E2485"/>
    <w:rsid w:val="009040E6"/>
    <w:rsid w:val="00940E56"/>
    <w:rsid w:val="00992085"/>
    <w:rsid w:val="009C5D76"/>
    <w:rsid w:val="009E2715"/>
    <w:rsid w:val="009E292E"/>
    <w:rsid w:val="009E4FB9"/>
    <w:rsid w:val="009E5330"/>
    <w:rsid w:val="009F6EB1"/>
    <w:rsid w:val="00A1339B"/>
    <w:rsid w:val="00A15F30"/>
    <w:rsid w:val="00A16324"/>
    <w:rsid w:val="00A21C6A"/>
    <w:rsid w:val="00A23812"/>
    <w:rsid w:val="00A24124"/>
    <w:rsid w:val="00A355BD"/>
    <w:rsid w:val="00A44FED"/>
    <w:rsid w:val="00A7796A"/>
    <w:rsid w:val="00A912B1"/>
    <w:rsid w:val="00A91688"/>
    <w:rsid w:val="00A938AE"/>
    <w:rsid w:val="00AA6E6F"/>
    <w:rsid w:val="00AC19A9"/>
    <w:rsid w:val="00AE250B"/>
    <w:rsid w:val="00AF1079"/>
    <w:rsid w:val="00B04FA3"/>
    <w:rsid w:val="00B10E67"/>
    <w:rsid w:val="00B15CAC"/>
    <w:rsid w:val="00B271B7"/>
    <w:rsid w:val="00B3419E"/>
    <w:rsid w:val="00B42AE9"/>
    <w:rsid w:val="00B43581"/>
    <w:rsid w:val="00B57DD5"/>
    <w:rsid w:val="00B82610"/>
    <w:rsid w:val="00B9130A"/>
    <w:rsid w:val="00BB6756"/>
    <w:rsid w:val="00BB77E9"/>
    <w:rsid w:val="00BE219D"/>
    <w:rsid w:val="00BE5B46"/>
    <w:rsid w:val="00BF4AB4"/>
    <w:rsid w:val="00C17DED"/>
    <w:rsid w:val="00C17E33"/>
    <w:rsid w:val="00C667FA"/>
    <w:rsid w:val="00C70BE1"/>
    <w:rsid w:val="00C7565B"/>
    <w:rsid w:val="00C86AB0"/>
    <w:rsid w:val="00CA2DEE"/>
    <w:rsid w:val="00CD5E98"/>
    <w:rsid w:val="00CE1BA8"/>
    <w:rsid w:val="00CF3758"/>
    <w:rsid w:val="00D00A35"/>
    <w:rsid w:val="00D247FE"/>
    <w:rsid w:val="00D34F37"/>
    <w:rsid w:val="00D931EC"/>
    <w:rsid w:val="00DA622B"/>
    <w:rsid w:val="00DF5180"/>
    <w:rsid w:val="00E15E5C"/>
    <w:rsid w:val="00E2722E"/>
    <w:rsid w:val="00E6687A"/>
    <w:rsid w:val="00E66F96"/>
    <w:rsid w:val="00E77F9D"/>
    <w:rsid w:val="00EC0E0E"/>
    <w:rsid w:val="00EE03EC"/>
    <w:rsid w:val="00EF2046"/>
    <w:rsid w:val="00EF651B"/>
    <w:rsid w:val="00F36D2E"/>
    <w:rsid w:val="00F52A26"/>
    <w:rsid w:val="00F5463E"/>
    <w:rsid w:val="00F6219D"/>
    <w:rsid w:val="00F812A5"/>
    <w:rsid w:val="00F813D8"/>
    <w:rsid w:val="00F975AA"/>
    <w:rsid w:val="00FB4B37"/>
    <w:rsid w:val="00FC5C4B"/>
    <w:rsid w:val="00FE7D2D"/>
    <w:rsid w:val="060B1B52"/>
    <w:rsid w:val="0AFB20FF"/>
    <w:rsid w:val="2E1D349F"/>
    <w:rsid w:val="3AEF5046"/>
    <w:rsid w:val="49512FA3"/>
    <w:rsid w:val="50155BF5"/>
    <w:rsid w:val="55C0338F"/>
    <w:rsid w:val="5B4812AC"/>
    <w:rsid w:val="68C4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color="red">
      <v:fill color="white"/>
      <v:stroke color="red" weight="1.75pt"/>
    </o:shapedefaults>
    <o:shapelayout v:ext="edit">
      <o:idmap v:ext="edit" data="2"/>
    </o:shapelayout>
  </w:shapeDefaults>
  <w:decimalSymbol w:val="."/>
  <w:listSeparator w:val=","/>
  <w14:docId w14:val="1EE65BF8"/>
  <w15:docId w15:val="{D583E09A-591D-43B0-8CEE-35DE56711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Chars="200" w:firstLine="420"/>
    </w:pPr>
    <w:rPr>
      <w:rFonts w:ascii="Calibri" w:hAnsi="Calibri"/>
      <w:szCs w:val="22"/>
    </w:rPr>
  </w:style>
  <w:style w:type="paragraph" w:styleId="a4">
    <w:name w:val="Body Text"/>
    <w:basedOn w:val="a"/>
    <w:link w:val="a5"/>
    <w:semiHidden/>
    <w:pPr>
      <w:jc w:val="center"/>
    </w:pPr>
    <w:rPr>
      <w:rFonts w:eastAsia="方正小标宋简体"/>
      <w:bCs/>
      <w:color w:val="FF0000"/>
      <w:spacing w:val="-40"/>
      <w:w w:val="66"/>
      <w:sz w:val="110"/>
      <w:szCs w:val="20"/>
    </w:rPr>
  </w:style>
  <w:style w:type="paragraph" w:styleId="a6">
    <w:name w:val="Balloon Text"/>
    <w:basedOn w:val="a"/>
    <w:semiHidden/>
    <w:rPr>
      <w:sz w:val="18"/>
      <w:szCs w:val="18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正文文本 字符"/>
    <w:link w:val="a4"/>
    <w:semiHidden/>
    <w:qFormat/>
    <w:rPr>
      <w:rFonts w:eastAsia="方正小标宋简体"/>
      <w:bCs/>
      <w:color w:val="FF0000"/>
      <w:spacing w:val="-40"/>
      <w:w w:val="66"/>
      <w:kern w:val="2"/>
      <w:sz w:val="110"/>
      <w:lang w:val="en-US" w:eastAsia="zh-CN" w:bidi="ar-SA"/>
    </w:rPr>
  </w:style>
  <w:style w:type="character" w:customStyle="1" w:styleId="aa">
    <w:name w:val="页眉 字符"/>
    <w:link w:val="a9"/>
    <w:qFormat/>
    <w:rPr>
      <w:kern w:val="2"/>
      <w:sz w:val="18"/>
      <w:szCs w:val="18"/>
    </w:rPr>
  </w:style>
  <w:style w:type="character" w:customStyle="1" w:styleId="a8">
    <w:name w:val="页脚 字符"/>
    <w:link w:val="a7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650</Words>
  <Characters>709</Characters>
  <Application>Microsoft Office Word</Application>
  <DocSecurity>0</DocSecurity>
  <Lines>44</Lines>
  <Paragraphs>54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zhengjj@ccace.org.cn</cp:lastModifiedBy>
  <cp:revision>2</cp:revision>
  <cp:lastPrinted>2018-09-05T09:21:00Z</cp:lastPrinted>
  <dcterms:created xsi:type="dcterms:W3CDTF">2019-10-30T01:42:00Z</dcterms:created>
  <dcterms:modified xsi:type="dcterms:W3CDTF">2026-09-24T05:50:00Z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eyJoZGlkIjoiYjg2MDNhZmM4ZjdlZTRlYzE4OGY2MDJhMDMxMTAyNjgiLCJ1c2VySWQiOiIzNzQwNjUyNzcifQ==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501F473205EF48E69BF5F0B779053427_13</vt:lpwstr>
  </property>
</Properties>
</file>