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90F6" w14:textId="77777777" w:rsidR="00AF7FE1" w:rsidRDefault="00000000">
      <w:pPr>
        <w:ind w:rightChars="27" w:right="57"/>
        <w:rPr>
          <w:rFonts w:ascii="黑体" w:eastAsia="黑体" w:hAnsi="黑体" w:hint="eastAsia"/>
          <w:color w:val="000000" w:themeColor="text1"/>
          <w:sz w:val="32"/>
          <w:szCs w:val="32"/>
        </w:rPr>
      </w:pPr>
      <w:bookmarkStart w:id="0" w:name="正文"/>
      <w:r>
        <w:rPr>
          <w:rFonts w:ascii="黑体" w:eastAsia="黑体" w:hAnsi="黑体" w:hint="eastAsia"/>
          <w:color w:val="000000" w:themeColor="text1"/>
          <w:sz w:val="32"/>
          <w:szCs w:val="32"/>
        </w:rPr>
        <w:t>附件</w:t>
      </w:r>
    </w:p>
    <w:p w14:paraId="5E8BF60C" w14:textId="77777777" w:rsidR="00AF7FE1" w:rsidRDefault="00000000">
      <w:pPr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课程大纲</w:t>
      </w:r>
    </w:p>
    <w:p w14:paraId="3A6B0B8B" w14:textId="77777777" w:rsidR="00AF7FE1" w:rsidRDefault="00AF7FE1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14:paraId="37A69D87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模块一：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概念篇-Token的概念及业务类型与出海运营策略</w:t>
      </w:r>
    </w:p>
    <w:p w14:paraId="0DF60935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1.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Token经济体系认知与底层逻辑</w:t>
      </w:r>
    </w:p>
    <w:p w14:paraId="32CBDC78" w14:textId="77777777" w:rsidR="00AF7FE1" w:rsidRDefault="00000000">
      <w:pPr>
        <w:spacing w:line="640" w:lineRule="exact"/>
        <w:ind w:rightChars="-319" w:right="-670"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1.1 Token基本概念与大模型技术演进</w:t>
      </w:r>
    </w:p>
    <w:p w14:paraId="51D5B37F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1.2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Token业务核心类型与细分服务场景</w:t>
      </w:r>
    </w:p>
    <w:p w14:paraId="0E53E90E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1.3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Token出海运营策略与国际化布局</w:t>
      </w:r>
    </w:p>
    <w:p w14:paraId="4420705D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模块二：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聚合篇-Token聚合商概念定位及行业现状与发展</w:t>
      </w:r>
    </w:p>
    <w:p w14:paraId="2B83750E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2.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Token聚合商产业定位与发展空间</w:t>
      </w:r>
    </w:p>
    <w:p w14:paraId="6D2E68AF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2.1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Token聚合商的核心价值创造逻辑</w:t>
      </w:r>
    </w:p>
    <w:p w14:paraId="2872F02C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2.2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全球及国内Token聚合市场现状与趋势预测</w:t>
      </w:r>
    </w:p>
    <w:p w14:paraId="5C747F5B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模块三：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平台篇-Token聚合中转平台技术与主流平台介绍</w:t>
      </w:r>
    </w:p>
    <w:p w14:paraId="7C46A8D0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3.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Token聚合中转平台（AI Gateway）技术架构体系</w:t>
      </w:r>
    </w:p>
    <w:p w14:paraId="3DC71CD6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3.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1 Token聚合中转平台总体架构顶层设计</w:t>
      </w:r>
    </w:p>
    <w:p w14:paraId="1AAA1F87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3.2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Token聚合平台核心技术组件实现路径</w:t>
      </w:r>
    </w:p>
    <w:p w14:paraId="0B883319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3.3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国内外主流Token聚合平台技术选型与解析</w:t>
      </w:r>
    </w:p>
    <w:p w14:paraId="031CEA47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模块四：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商业篇-Token聚合商的商业模式及业务拓展方法</w:t>
      </w:r>
    </w:p>
    <w:p w14:paraId="07544F02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4.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Token聚合商创新商业模式与政企拓展实战</w:t>
      </w:r>
    </w:p>
    <w:p w14:paraId="4867AF75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4.1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Token聚合商核心商业模式设计</w:t>
      </w:r>
    </w:p>
    <w:p w14:paraId="4CC30106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4.2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垂直行业Token需求挖掘与价值呈现</w:t>
      </w:r>
    </w:p>
    <w:p w14:paraId="700B1274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lastRenderedPageBreak/>
        <w:t xml:space="preserve">4.3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Token业务大客户拓展策略与渠道建设（12步套路打法）</w:t>
      </w:r>
    </w:p>
    <w:p w14:paraId="73CFCCB8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模块五：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运营篇-Token聚合商的盈利情况与成本结构分析</w:t>
      </w:r>
    </w:p>
    <w:p w14:paraId="05EDB44B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5.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Token聚合经济模型测算与降本增效运营</w:t>
      </w:r>
    </w:p>
    <w:p w14:paraId="0B2A680F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5.1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Token聚合商多元化收入结构剖析</w:t>
      </w:r>
    </w:p>
    <w:p w14:paraId="74E6AD83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5.2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Token平台建设与运营成本拆解</w:t>
      </w:r>
    </w:p>
    <w:p w14:paraId="509B5EEB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5.3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盈利能力优化工具箱与ROI提升路径 </w:t>
      </w:r>
    </w:p>
    <w:p w14:paraId="73953F99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模块六：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合规篇-Token聚合商运营法律合规性与风险规避</w:t>
      </w:r>
    </w:p>
    <w:p w14:paraId="3FB5D5CE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6.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全球化Token业务合规体系构建与红线防御</w:t>
      </w:r>
    </w:p>
    <w:p w14:paraId="3DD8182D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6.1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境内外算力与AI合规监管政策深度解读</w:t>
      </w:r>
    </w:p>
    <w:p w14:paraId="2624561C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6.2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数据流转、隐私保护与模型版权规避</w:t>
      </w:r>
    </w:p>
    <w:p w14:paraId="5B0828E4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6.3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出海业务支付、结算与税务合规</w:t>
      </w:r>
    </w:p>
    <w:p w14:paraId="63159FEC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模块七：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案例篇-Token聚合商出海业务运营成功案例分析</w:t>
      </w:r>
    </w:p>
    <w:p w14:paraId="4FA50C8E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>7.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典型 Token 平台破局打法与实战复盘</w:t>
      </w:r>
    </w:p>
    <w:p w14:paraId="09DF8C0A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7.1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案例一：某海外顶级Token聚合平台（类</w:t>
      </w:r>
      <w:proofErr w:type="spellStart"/>
      <w:r>
        <w:rPr>
          <w:rFonts w:ascii="仿宋" w:eastAsia="仿宋" w:hAnsi="仿宋" w:hint="eastAsia"/>
          <w:color w:val="000000" w:themeColor="text1"/>
          <w:sz w:val="32"/>
          <w:szCs w:val="32"/>
        </w:rPr>
        <w:t>OpenRouter</w:t>
      </w:r>
      <w:proofErr w:type="spellEnd"/>
      <w:r>
        <w:rPr>
          <w:rFonts w:ascii="仿宋" w:eastAsia="仿宋" w:hAnsi="仿宋" w:hint="eastAsia"/>
          <w:color w:val="000000" w:themeColor="text1"/>
          <w:sz w:val="32"/>
          <w:szCs w:val="32"/>
        </w:rPr>
        <w:t>）的全球生态崛起之路</w:t>
      </w:r>
    </w:p>
    <w:p w14:paraId="600C170D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7.2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案例二：某省级运营商DICT项目的企业AI Gateway平台落地案例</w:t>
      </w:r>
    </w:p>
    <w:p w14:paraId="4ADD2923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7.3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案例三：某垂直行业Token聚合SaaS服务商出海失败与整改复盘</w:t>
      </w:r>
    </w:p>
    <w:p w14:paraId="217FEE45" w14:textId="77777777" w:rsidR="00AF7FE1" w:rsidRDefault="00000000">
      <w:pPr>
        <w:spacing w:line="640" w:lineRule="exact"/>
        <w:ind w:firstLineChars="200" w:firstLine="640"/>
        <w:rPr>
          <w:rFonts w:ascii="黑体" w:eastAsia="黑体" w:hAnsi="黑体" w:hint="eastAsia"/>
          <w:color w:val="000000" w:themeColor="text1"/>
          <w:sz w:val="32"/>
          <w:szCs w:val="32"/>
        </w:rPr>
      </w:pPr>
      <w:r>
        <w:rPr>
          <w:rFonts w:ascii="黑体" w:eastAsia="黑体" w:hAnsi="黑体"/>
          <w:color w:val="000000" w:themeColor="text1"/>
          <w:sz w:val="32"/>
          <w:szCs w:val="32"/>
        </w:rPr>
        <w:t>模块八：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搭建篇-Token聚合中转平台搭建方法工具与实践</w:t>
      </w:r>
    </w:p>
    <w:p w14:paraId="43E49CA4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8.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从零到一：Token聚合中转平台实操部署沙盘演练</w:t>
      </w:r>
    </w:p>
    <w:p w14:paraId="345A15AC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lastRenderedPageBreak/>
        <w:t xml:space="preserve">8.1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Token聚合中转平台架构蓝图与工具选型准备</w:t>
      </w:r>
    </w:p>
    <w:p w14:paraId="7EFE3601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8.2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核心模块上线实操部署与配置指南</w:t>
      </w:r>
    </w:p>
    <w:p w14:paraId="796AD259" w14:textId="77777777" w:rsidR="00AF7FE1" w:rsidRDefault="00000000">
      <w:pPr>
        <w:spacing w:line="640" w:lineRule="exact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/>
          <w:color w:val="000000" w:themeColor="text1"/>
          <w:sz w:val="32"/>
          <w:szCs w:val="32"/>
        </w:rPr>
        <w:t xml:space="preserve">8.3 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平台上线后的持续调优与自动化运维（AIOps）</w:t>
      </w:r>
    </w:p>
    <w:p w14:paraId="1214A8A1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3D95EB8D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3B7A4981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5D62A610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2C89A99A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383C411A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7A9A5936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0E5D537F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2D58F1C0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483F1895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379EF10F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679299A0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7E1C6C68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2377D775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479158C7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p w14:paraId="2E07A9C1" w14:textId="77777777" w:rsidR="00AF7FE1" w:rsidRDefault="00AF7FE1">
      <w:pPr>
        <w:ind w:firstLine="420"/>
        <w:rPr>
          <w:rFonts w:ascii="微软雅黑" w:eastAsia="微软雅黑" w:hAnsi="微软雅黑" w:hint="eastAsia"/>
          <w:sz w:val="32"/>
          <w:szCs w:val="32"/>
        </w:rPr>
      </w:pPr>
    </w:p>
    <w:bookmarkEnd w:id="0"/>
    <w:p w14:paraId="77081452" w14:textId="77777777" w:rsidR="00AF7FE1" w:rsidRDefault="00AF7FE1">
      <w:pPr>
        <w:rPr>
          <w:rFonts w:ascii="宋体" w:hAnsi="宋体" w:hint="eastAsia"/>
        </w:rPr>
      </w:pPr>
    </w:p>
    <w:p w14:paraId="0C008B5F" w14:textId="77777777" w:rsidR="00AF7FE1" w:rsidRDefault="00000000">
      <w:pPr>
        <w:tabs>
          <w:tab w:val="left" w:pos="1755"/>
        </w:tabs>
        <w:jc w:val="right"/>
        <w:rPr>
          <w:rFonts w:asciiTheme="minorEastAsia" w:eastAsiaTheme="minorEastAsia" w:hAnsiTheme="minorEastAsia" w:hint="eastAsia"/>
          <w:sz w:val="32"/>
          <w:szCs w:val="32"/>
        </w:rPr>
      </w:pPr>
      <w:r>
        <w:tab/>
      </w:r>
      <w:r>
        <w:rPr>
          <w:rFonts w:asciiTheme="minorEastAsia" w:eastAsiaTheme="minorEastAsia" w:hAnsiTheme="minorEastAsia" w:hint="eastAsia"/>
          <w:sz w:val="32"/>
          <w:szCs w:val="32"/>
        </w:rPr>
        <w:tab/>
      </w:r>
    </w:p>
    <w:p w14:paraId="0BEF7F7A" w14:textId="77777777" w:rsidR="00AF7FE1" w:rsidRDefault="00AF7FE1">
      <w:pPr>
        <w:ind w:rightChars="-319" w:right="-670"/>
        <w:rPr>
          <w:rFonts w:ascii="宋体" w:hAnsi="宋体" w:hint="eastAsia"/>
          <w:color w:val="FF0000"/>
          <w:spacing w:val="34"/>
          <w:w w:val="66"/>
        </w:rPr>
      </w:pPr>
    </w:p>
    <w:p w14:paraId="4CABFB3A" w14:textId="77777777" w:rsidR="00AF7FE1" w:rsidRDefault="00AF7FE1">
      <w:pPr>
        <w:spacing w:line="20" w:lineRule="exact"/>
        <w:rPr>
          <w:rFonts w:ascii="宋体" w:hAnsi="宋体" w:hint="eastAsia"/>
        </w:rPr>
      </w:pPr>
    </w:p>
    <w:sectPr w:rsidR="00AF7FE1">
      <w:headerReference w:type="default" r:id="rId7"/>
      <w:footerReference w:type="default" r:id="rId8"/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A1FD" w14:textId="77777777" w:rsidR="005D7BF5" w:rsidRDefault="005D7BF5">
      <w:r>
        <w:separator/>
      </w:r>
    </w:p>
  </w:endnote>
  <w:endnote w:type="continuationSeparator" w:id="0">
    <w:p w14:paraId="560C4754" w14:textId="77777777" w:rsidR="005D7BF5" w:rsidRDefault="005D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780E" w14:textId="77777777" w:rsidR="00AF7FE1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AA3275" wp14:editId="4B5EB1A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9875" cy="16891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875" cy="16891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0AD25D51" w14:textId="77777777" w:rsidR="00AF7FE1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A327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1.25pt;height:13.3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" filled="f" stroked="f" strokeweight="1.75pt">
              <v:textbox inset="0,0,0,0">
                <w:txbxContent>
                  <w:p w14:paraId="0AD25D51" w14:textId="77777777" w:rsidR="00AF7FE1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9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BA11D" w14:textId="77777777" w:rsidR="005D7BF5" w:rsidRDefault="005D7BF5">
      <w:r>
        <w:separator/>
      </w:r>
    </w:p>
  </w:footnote>
  <w:footnote w:type="continuationSeparator" w:id="0">
    <w:p w14:paraId="762C748D" w14:textId="77777777" w:rsidR="005D7BF5" w:rsidRDefault="005D7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0B78" w14:textId="77777777" w:rsidR="00AF7FE1" w:rsidRDefault="00AF7FE1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8783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5D7BF5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AF7FE1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1799"/>
    <w:rsid w:val="00FB4B37"/>
    <w:rsid w:val="00FC5C4B"/>
    <w:rsid w:val="00FE7D2D"/>
    <w:rsid w:val="112E1DCF"/>
    <w:rsid w:val="165F7462"/>
    <w:rsid w:val="2A0C65CE"/>
    <w:rsid w:val="2C9C5E7F"/>
    <w:rsid w:val="49A17BDC"/>
    <w:rsid w:val="4F6222CB"/>
    <w:rsid w:val="59266ED9"/>
    <w:rsid w:val="6AAA4899"/>
    <w:rsid w:val="7007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7993FC7B"/>
  <w15:docId w15:val="{3424AC00-142F-4F03-BA56-790A1697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styleId="a4">
    <w:name w:val="Body Text"/>
    <w:basedOn w:val="a"/>
    <w:link w:val="a5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正文文本 字符"/>
    <w:link w:val="a4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572</Characters>
  <Application>Microsoft Office Word</Application>
  <DocSecurity>0</DocSecurity>
  <Lines>38</Lines>
  <Paragraphs>39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2026-07-30T08:31:00Z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eyJoZGlkIjoiYjg2MDNhZmM4ZjdlZTRlYzE4OGY2MDJhMDMxMTAyNjgiLCJ1c2VySWQiOiIzNzQwNjUyNzcifQ==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B99FA11B81A34563AA819CD1F22DEFB5_13</vt:lpwstr>
  </property>
</Properties>
</file>