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2F3D" w14:textId="77777777" w:rsidR="00DB432B" w:rsidRDefault="00000000">
      <w:pPr>
        <w:autoSpaceDE w:val="0"/>
        <w:autoSpaceDN w:val="0"/>
        <w:snapToGrid w:val="0"/>
        <w:spacing w:line="594" w:lineRule="exact"/>
        <w:rPr>
          <w:rFonts w:ascii="黑体" w:eastAsia="黑体" w:hAnsi="黑体" w:cs="黑体" w:hint="eastAsia"/>
          <w:bCs/>
          <w:kern w:val="0"/>
          <w:sz w:val="32"/>
          <w:szCs w:val="32"/>
        </w:rPr>
      </w:pPr>
      <w:bookmarkStart w:id="0" w:name="正文"/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附件2</w:t>
      </w:r>
    </w:p>
    <w:p w14:paraId="4F86EA30" w14:textId="77777777" w:rsidR="00DB432B" w:rsidRDefault="00000000">
      <w:pPr>
        <w:tabs>
          <w:tab w:val="center" w:pos="4409"/>
        </w:tabs>
        <w:ind w:rightChars="-47" w:right="-99"/>
        <w:jc w:val="center"/>
        <w:rPr>
          <w:rFonts w:ascii="宋体" w:hAnsi="宋体" w:hint="eastAsia"/>
          <w:b/>
          <w:sz w:val="36"/>
          <w:szCs w:val="36"/>
        </w:rPr>
      </w:pPr>
      <w:bookmarkStart w:id="1" w:name="OLE_LINK9"/>
      <w:r>
        <w:rPr>
          <w:rFonts w:ascii="宋体" w:hAnsi="宋体" w:hint="eastAsia"/>
          <w:b/>
          <w:sz w:val="36"/>
          <w:szCs w:val="36"/>
        </w:rPr>
        <w:t>首届量子计算应用场景挑战赛专业组评分标准</w:t>
      </w:r>
    </w:p>
    <w:bookmarkEnd w:id="1"/>
    <w:p w14:paraId="05D301AB" w14:textId="77777777" w:rsidR="00DB432B" w:rsidRDefault="00DB432B">
      <w:pPr>
        <w:adjustRightInd w:val="0"/>
        <w:spacing w:line="0" w:lineRule="atLeas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006"/>
        <w:gridCol w:w="6029"/>
      </w:tblGrid>
      <w:tr w:rsidR="00DB432B" w14:paraId="35933F7E" w14:textId="77777777">
        <w:trPr>
          <w:trHeight w:hRule="exact" w:val="850"/>
          <w:tblHeader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3ADFA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评分维度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613C8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分值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11AFD5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评分规则</w:t>
            </w:r>
          </w:p>
        </w:tc>
      </w:tr>
      <w:tr w:rsidR="00DB432B" w14:paraId="7DCB1C97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798B1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 业务场景真实性与行业重要性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9A8EC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251DC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业务场景真实、重要程度高、问题复杂度高、规模大，经典计算存在短板，具备高频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量子算力调用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商业价值</w:t>
            </w:r>
          </w:p>
        </w:tc>
      </w:tr>
      <w:tr w:rsidR="00DB432B" w14:paraId="2973144A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4CB7B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 问题分析与技术架构图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F2CFC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FDB0C4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问题拆解、目标与约束梳理清晰、具备详细技术路线图</w:t>
            </w:r>
          </w:p>
        </w:tc>
      </w:tr>
      <w:tr w:rsidR="00DB432B" w14:paraId="4FB33477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DE207E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 业务数据质量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151CB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 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FBD8A6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业务数据真实、覆盖业务核心字段、规模充足、特征完整、质量高，可直接用于问题建模与验证</w:t>
            </w:r>
          </w:p>
        </w:tc>
      </w:tr>
      <w:tr w:rsidR="00DB432B" w14:paraId="67673657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0A31B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 现有模型基础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E0F89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 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96D49B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可提供成熟现有业务模型</w:t>
            </w:r>
          </w:p>
        </w:tc>
      </w:tr>
      <w:tr w:rsidR="00DB432B" w14:paraId="1D295981" w14:textId="77777777">
        <w:trPr>
          <w:trHeight w:hRule="exact" w:val="1235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CA75B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 模型建立与假设（可联合高校共同完成）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D42A5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2A60F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QUBO/玻尔兹曼采样严谨，变量映射正确，模型正确，假设科学合理</w:t>
            </w:r>
          </w:p>
        </w:tc>
      </w:tr>
      <w:tr w:rsidR="00DB432B" w14:paraId="52559C37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B6B59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6.求解结果与其他技术对比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22C19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26ABC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使用</w:t>
            </w: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Kaiwu</w:t>
            </w:r>
            <w:proofErr w:type="spellEnd"/>
            <w:r>
              <w:rPr>
                <w:rFonts w:ascii="仿宋" w:eastAsia="仿宋" w:hAnsi="仿宋" w:cs="仿宋" w:hint="eastAsia"/>
                <w:sz w:val="24"/>
              </w:rPr>
              <w:t xml:space="preserve"> SDK SA算法完成验证、专用量子计算机求解，并与其他技术路线进行测试对比，量子优势明显</w:t>
            </w:r>
          </w:p>
        </w:tc>
      </w:tr>
      <w:tr w:rsidR="00DB432B" w14:paraId="137C4F5E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6D5CE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 真机验证与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跨技术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路线对比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501EC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 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79C83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已完成</w:t>
            </w:r>
            <w:r>
              <w:rPr>
                <w:rFonts w:ascii="仿宋" w:eastAsia="仿宋" w:hAnsi="仿宋" w:cs="仿宋"/>
                <w:sz w:val="24"/>
              </w:rPr>
              <w:t>专用</w:t>
            </w:r>
            <w:r>
              <w:rPr>
                <w:rFonts w:ascii="仿宋" w:eastAsia="仿宋" w:hAnsi="仿宋" w:cs="仿宋" w:hint="eastAsia"/>
                <w:sz w:val="24"/>
              </w:rPr>
              <w:t>量子真机验证，并与经典 / 其他量子路线做全面对比，量子优势清晰可量化</w:t>
            </w:r>
          </w:p>
        </w:tc>
      </w:tr>
      <w:tr w:rsidR="00DB432B" w14:paraId="3E2E2941" w14:textId="77777777">
        <w:trPr>
          <w:trHeight w:hRule="exact" w:val="850"/>
        </w:trPr>
        <w:tc>
          <w:tcPr>
            <w:tcW w:w="1223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D93B4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合计</w:t>
            </w:r>
          </w:p>
        </w:tc>
        <w:tc>
          <w:tcPr>
            <w:tcW w:w="540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82FF6" w14:textId="77777777" w:rsidR="00DB432B" w:rsidRDefault="00000000">
            <w:pPr>
              <w:adjustRightInd w:val="0"/>
              <w:spacing w:line="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 分</w:t>
            </w:r>
          </w:p>
        </w:tc>
        <w:tc>
          <w:tcPr>
            <w:tcW w:w="3236" w:type="pct"/>
            <w:tcBorders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F4ECD3" w14:textId="77777777" w:rsidR="00DB432B" w:rsidRDefault="00000000">
            <w:pPr>
              <w:adjustRightInd w:val="0"/>
              <w:spacing w:line="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——</w:t>
            </w:r>
          </w:p>
        </w:tc>
      </w:tr>
      <w:bookmarkEnd w:id="0"/>
    </w:tbl>
    <w:p w14:paraId="0BF16AD9" w14:textId="77777777" w:rsidR="00DB432B" w:rsidRDefault="00DB432B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479CBE34" w14:textId="77777777" w:rsidR="00DB432B" w:rsidRDefault="00DB432B">
      <w:pPr>
        <w:spacing w:line="560" w:lineRule="exact"/>
        <w:ind w:rightChars="-319" w:right="-670"/>
        <w:rPr>
          <w:rFonts w:ascii="宋体" w:hAnsi="宋体" w:hint="eastAsia"/>
          <w:color w:val="FF0000"/>
          <w:spacing w:val="34"/>
          <w:w w:val="66"/>
          <w:sz w:val="32"/>
          <w:szCs w:val="32"/>
        </w:rPr>
      </w:pPr>
    </w:p>
    <w:p w14:paraId="6339B3A5" w14:textId="77777777" w:rsidR="00DB432B" w:rsidRDefault="00DB432B">
      <w:pPr>
        <w:rPr>
          <w:rFonts w:ascii="宋体" w:hAnsi="宋体" w:hint="eastAsia"/>
        </w:rPr>
      </w:pPr>
    </w:p>
    <w:p w14:paraId="37ADAA37" w14:textId="77777777" w:rsidR="00DB432B" w:rsidRDefault="00000000">
      <w:pPr>
        <w:tabs>
          <w:tab w:val="left" w:pos="1755"/>
        </w:tabs>
        <w:jc w:val="right"/>
        <w:rPr>
          <w:rFonts w:asciiTheme="minorEastAsia" w:eastAsiaTheme="minorEastAsia" w:hAnsiTheme="minorEastAsia" w:hint="eastAsia"/>
          <w:sz w:val="32"/>
          <w:szCs w:val="32"/>
        </w:rPr>
      </w:pPr>
      <w:r>
        <w:tab/>
      </w:r>
      <w:r>
        <w:rPr>
          <w:rFonts w:asciiTheme="minorEastAsia" w:eastAsiaTheme="minorEastAsia" w:hAnsiTheme="minorEastAsia" w:hint="eastAsia"/>
          <w:sz w:val="32"/>
          <w:szCs w:val="32"/>
        </w:rPr>
        <w:tab/>
      </w:r>
    </w:p>
    <w:p w14:paraId="1C67E1B1" w14:textId="77777777" w:rsidR="00DB432B" w:rsidRDefault="00DB432B">
      <w:pPr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40C371FE" w14:textId="77777777" w:rsidR="00DB432B" w:rsidRDefault="00DB432B">
      <w:pPr>
        <w:rPr>
          <w:rFonts w:ascii="宋体" w:hAnsi="宋体" w:hint="eastAsia"/>
        </w:rPr>
      </w:pPr>
    </w:p>
    <w:sectPr w:rsidR="00DB432B">
      <w:headerReference w:type="default" r:id="rId7"/>
      <w:footerReference w:type="default" r:id="rId8"/>
      <w:pgSz w:w="11906" w:h="16838"/>
      <w:pgMar w:top="1440" w:right="1417" w:bottom="124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A1FD" w14:textId="77777777" w:rsidR="00817FAC" w:rsidRDefault="00817FAC">
      <w:r>
        <w:separator/>
      </w:r>
    </w:p>
  </w:endnote>
  <w:endnote w:type="continuationSeparator" w:id="0">
    <w:p w14:paraId="1EFE753D" w14:textId="77777777" w:rsidR="00817FAC" w:rsidRDefault="0081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21B9" w14:textId="77777777" w:rsidR="00DB432B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477306" wp14:editId="281474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0825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" cy="1828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33D4FBC9" w14:textId="77777777" w:rsidR="00DB432B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B432B">
                              <w:t>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7730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9.75pt;height:2in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" filled="f" stroked="f" strokeweight="1.75pt">
              <v:textbox style="mso-fit-shape-to-text:t" inset="0,0,0,0">
                <w:txbxContent>
                  <w:p w14:paraId="33D4FBC9" w14:textId="77777777" w:rsidR="00DB432B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B432B">
                        <w:t>8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51EC" w14:textId="77777777" w:rsidR="00817FAC" w:rsidRDefault="00817FAC">
      <w:r>
        <w:separator/>
      </w:r>
    </w:p>
  </w:footnote>
  <w:footnote w:type="continuationSeparator" w:id="0">
    <w:p w14:paraId="78B986F0" w14:textId="77777777" w:rsidR="00817FAC" w:rsidRDefault="0081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F1E2" w14:textId="77777777" w:rsidR="00DB432B" w:rsidRDefault="00DB432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43780"/>
    <w:rsid w:val="00354E3E"/>
    <w:rsid w:val="00357722"/>
    <w:rsid w:val="00357A4B"/>
    <w:rsid w:val="00375FD9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6F5586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17FAC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6115B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B43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D35E2"/>
    <w:rsid w:val="00FD5591"/>
    <w:rsid w:val="00FE7D2D"/>
    <w:rsid w:val="05CD3091"/>
    <w:rsid w:val="0D003079"/>
    <w:rsid w:val="0E875E54"/>
    <w:rsid w:val="105B1B61"/>
    <w:rsid w:val="13250FB0"/>
    <w:rsid w:val="197124E8"/>
    <w:rsid w:val="22683081"/>
    <w:rsid w:val="26372F76"/>
    <w:rsid w:val="26F947D6"/>
    <w:rsid w:val="2F601896"/>
    <w:rsid w:val="34442F4F"/>
    <w:rsid w:val="36A101AE"/>
    <w:rsid w:val="3A270789"/>
    <w:rsid w:val="435A7DFD"/>
    <w:rsid w:val="43942E6F"/>
    <w:rsid w:val="612337D6"/>
    <w:rsid w:val="6F7B6738"/>
    <w:rsid w:val="7C55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3F8546D"/>
  <w15:docId w15:val="{C85FF9C4-5757-4DF2-AAC0-8BAB618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autoSpaceDE w:val="0"/>
      <w:autoSpaceDN w:val="0"/>
      <w:ind w:left="558" w:hanging="418"/>
      <w:jc w:val="left"/>
      <w:outlineLvl w:val="0"/>
    </w:pPr>
    <w:rPr>
      <w:rFonts w:ascii="微软雅黑" w:eastAsia="微软雅黑" w:hAnsi="微软雅黑" w:cs="微软雅黑"/>
      <w:b/>
      <w:bCs/>
      <w:i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pPr>
      <w:jc w:val="left"/>
    </w:pPr>
    <w:rPr>
      <w:kern w:val="0"/>
      <w:sz w:val="24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237</Characters>
  <Application>Microsoft Office Word</Application>
  <DocSecurity>0</DocSecurity>
  <Lines>18</Lines>
  <Paragraphs>18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3</cp:revision>
  <cp:lastPrinted>2018-09-05T09:21:00Z</cp:lastPrinted>
  <dcterms:created xsi:type="dcterms:W3CDTF">2019-10-30T01:42:00Z</dcterms:created>
  <dcterms:modified xsi:type="dcterms:W3CDTF">2026-06-23T02:43:00Z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9AA16D02785947748183763ACF644549_13</vt:lpwstr>
  </property>
</Properties>
</file>