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BB0" w14:textId="77777777" w:rsidR="00DB432B" w:rsidRDefault="00000000">
      <w:pPr>
        <w:autoSpaceDE w:val="0"/>
        <w:autoSpaceDN w:val="0"/>
        <w:snapToGrid w:val="0"/>
        <w:spacing w:line="594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bookmarkStart w:id="0" w:name="正文"/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14:paraId="7CF9F669" w14:textId="77777777" w:rsidR="00DB432B" w:rsidRDefault="00000000">
      <w:pPr>
        <w:tabs>
          <w:tab w:val="center" w:pos="4409"/>
        </w:tabs>
        <w:ind w:rightChars="-47" w:right="-99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首届量子计算应用场景挑战赛高校组评分标准</w:t>
      </w:r>
    </w:p>
    <w:p w14:paraId="1C6F146E" w14:textId="77777777" w:rsidR="00DB432B" w:rsidRDefault="00DB432B">
      <w:pPr>
        <w:adjustRightInd w:val="0"/>
        <w:spacing w:line="0" w:lineRule="atLeas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974"/>
        <w:gridCol w:w="6509"/>
      </w:tblGrid>
      <w:tr w:rsidR="00DB432B" w14:paraId="4EA5E9F3" w14:textId="77777777">
        <w:trPr>
          <w:trHeight w:hRule="exact" w:val="850"/>
          <w:tblHeader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F8438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评分维度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04465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C8779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评分规则</w:t>
            </w:r>
          </w:p>
        </w:tc>
      </w:tr>
      <w:tr w:rsidR="00DB432B" w14:paraId="0A380A2F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CE392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 场景选择与问题重要性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33F24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A1F85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场景具备重要性、问题复杂程度高、规模大、具备高频调用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量子算力潜力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，经典求解具备短板、应用价值突出</w:t>
            </w:r>
          </w:p>
        </w:tc>
      </w:tr>
      <w:tr w:rsidR="00DB432B" w14:paraId="6767928E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B70E3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 问题分析与技术严谨性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676B4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4A0BF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bookmarkStart w:id="1" w:name="OLE_LINK8"/>
            <w:bookmarkStart w:id="2" w:name="OLE_LINK7"/>
            <w:r>
              <w:rPr>
                <w:rFonts w:ascii="仿宋" w:eastAsia="仿宋" w:hAnsi="仿宋" w:cs="仿宋" w:hint="eastAsia"/>
                <w:sz w:val="24"/>
              </w:rPr>
              <w:t>问题拆解、目标与约束梳理清晰、具备详细技术路线图、数据集完整规范、来源合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规</w:t>
            </w:r>
            <w:bookmarkEnd w:id="1"/>
            <w:bookmarkEnd w:id="2"/>
            <w:proofErr w:type="gramEnd"/>
          </w:p>
        </w:tc>
      </w:tr>
      <w:tr w:rsidR="00DB432B" w14:paraId="20E3DD36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E4341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 模型建立与假设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6DD25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EA7B0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QUBO 建模/玻尔兹曼采样严谨，假设与公式转化科学合理、约束处理完善、公式规范完整</w:t>
            </w:r>
          </w:p>
        </w:tc>
      </w:tr>
      <w:tr w:rsidR="00DB432B" w14:paraId="32592DF8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A2506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 模型求解与结果分析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B5129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458703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Kaiwu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 xml:space="preserve"> SDK SA算法完成验证、使用专用量子计算机求解，结果验证充分、代码可复现、数据集合理可用，结果具备量子优势</w:t>
            </w:r>
          </w:p>
        </w:tc>
      </w:tr>
      <w:tr w:rsidR="00DB432B" w14:paraId="728EBB5D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455F8F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bookmarkStart w:id="3" w:name="_Hlk232192111"/>
            <w:r>
              <w:rPr>
                <w:rFonts w:ascii="仿宋" w:eastAsia="仿宋" w:hAnsi="仿宋" w:cs="仿宋" w:hint="eastAsia"/>
                <w:sz w:val="24"/>
              </w:rPr>
              <w:t>5. 与经典方法对比分析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FA9F8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871B4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对比维度全面，结论量化明确，量子优势说服力强</w:t>
            </w:r>
          </w:p>
        </w:tc>
      </w:tr>
      <w:bookmarkEnd w:id="3"/>
      <w:tr w:rsidR="00DB432B" w14:paraId="6F800619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6C8BB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 论文写作与规范度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FA824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250BB" w14:textId="77777777" w:rsidR="00DB432B" w:rsidRDefault="00000000">
            <w:pPr>
              <w:pStyle w:val="ab"/>
              <w:adjustRightInd w:val="0"/>
              <w:spacing w:line="0" w:lineRule="atLeas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结构完整、格式规范、图表美观、引用标准、文字流畅、排版专业</w:t>
            </w:r>
          </w:p>
        </w:tc>
      </w:tr>
      <w:tr w:rsidR="00DB432B" w14:paraId="35CD2767" w14:textId="77777777">
        <w:trPr>
          <w:trHeight w:hRule="exact" w:val="850"/>
        </w:trPr>
        <w:tc>
          <w:tcPr>
            <w:tcW w:w="98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76EA24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5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120B2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 分</w:t>
            </w:r>
          </w:p>
        </w:tc>
        <w:tc>
          <w:tcPr>
            <w:tcW w:w="3494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040A8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</w:tr>
    </w:tbl>
    <w:p w14:paraId="1A6D6101" w14:textId="77777777" w:rsidR="00DB432B" w:rsidRDefault="00DB432B">
      <w:pPr>
        <w:adjustRightInd w:val="0"/>
        <w:spacing w:line="0" w:lineRule="atLeast"/>
        <w:rPr>
          <w:rFonts w:ascii="仿宋" w:eastAsia="仿宋" w:hAnsi="仿宋" w:cs="仿宋" w:hint="eastAsia"/>
          <w:sz w:val="32"/>
          <w:szCs w:val="32"/>
        </w:rPr>
      </w:pPr>
    </w:p>
    <w:p w14:paraId="712F1AE2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72740CB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7ED8CC6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F3E90BF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E43E34D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D73DAD0" w14:textId="77777777" w:rsidR="00DB432B" w:rsidRDefault="00DB432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bookmarkEnd w:id="0"/>
    <w:p w14:paraId="479CBE34" w14:textId="77777777" w:rsidR="00DB432B" w:rsidRDefault="00DB432B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40C371FE" w14:textId="3CE0783D" w:rsidR="00DB432B" w:rsidRPr="00FE1092" w:rsidRDefault="00DB432B" w:rsidP="00FE1092">
      <w:pPr>
        <w:tabs>
          <w:tab w:val="left" w:pos="1755"/>
        </w:tabs>
        <w:spacing w:line="20" w:lineRule="exact"/>
        <w:jc w:val="right"/>
        <w:rPr>
          <w:rFonts w:asciiTheme="minorEastAsia" w:eastAsiaTheme="minorEastAsia" w:hAnsiTheme="minorEastAsia" w:hint="eastAsia"/>
          <w:sz w:val="32"/>
          <w:szCs w:val="32"/>
        </w:rPr>
      </w:pPr>
    </w:p>
    <w:sectPr w:rsidR="00DB432B" w:rsidRPr="00FE1092">
      <w:headerReference w:type="default" r:id="rId7"/>
      <w:footerReference w:type="default" r:id="rId8"/>
      <w:pgSz w:w="11906" w:h="16838"/>
      <w:pgMar w:top="1440" w:right="1417" w:bottom="124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4EA2" w14:textId="77777777" w:rsidR="00790D1B" w:rsidRDefault="00790D1B">
      <w:r>
        <w:separator/>
      </w:r>
    </w:p>
  </w:endnote>
  <w:endnote w:type="continuationSeparator" w:id="0">
    <w:p w14:paraId="72B5F6BF" w14:textId="77777777" w:rsidR="00790D1B" w:rsidRDefault="0079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21B9" w14:textId="77777777" w:rsidR="00DB432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77306" wp14:editId="281474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0825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33D4FBC9" w14:textId="77777777" w:rsidR="00DB432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B432B">
                              <w:t>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7730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9.75pt;height:2in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" filled="f" stroked="f" strokeweight="1.75pt">
              <v:textbox style="mso-fit-shape-to-text:t" inset="0,0,0,0">
                <w:txbxContent>
                  <w:p w14:paraId="33D4FBC9" w14:textId="77777777" w:rsidR="00DB432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B432B"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D54D" w14:textId="77777777" w:rsidR="00790D1B" w:rsidRDefault="00790D1B">
      <w:r>
        <w:separator/>
      </w:r>
    </w:p>
  </w:footnote>
  <w:footnote w:type="continuationSeparator" w:id="0">
    <w:p w14:paraId="6A82C282" w14:textId="77777777" w:rsidR="00790D1B" w:rsidRDefault="0079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F1E2" w14:textId="77777777" w:rsidR="00DB432B" w:rsidRDefault="00DB432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43780"/>
    <w:rsid w:val="00354E3E"/>
    <w:rsid w:val="00357722"/>
    <w:rsid w:val="00357A4B"/>
    <w:rsid w:val="00375FD9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6F5586"/>
    <w:rsid w:val="007175BE"/>
    <w:rsid w:val="00727583"/>
    <w:rsid w:val="00745E85"/>
    <w:rsid w:val="00745F5D"/>
    <w:rsid w:val="00763647"/>
    <w:rsid w:val="00790D1B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6115B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B43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1092"/>
    <w:rsid w:val="00FE7D2D"/>
    <w:rsid w:val="05CD3091"/>
    <w:rsid w:val="0D003079"/>
    <w:rsid w:val="0E875E54"/>
    <w:rsid w:val="105B1B61"/>
    <w:rsid w:val="13250FB0"/>
    <w:rsid w:val="197124E8"/>
    <w:rsid w:val="22683081"/>
    <w:rsid w:val="26372F76"/>
    <w:rsid w:val="26F947D6"/>
    <w:rsid w:val="2F601896"/>
    <w:rsid w:val="34442F4F"/>
    <w:rsid w:val="36A101AE"/>
    <w:rsid w:val="3A270789"/>
    <w:rsid w:val="435A7DFD"/>
    <w:rsid w:val="43942E6F"/>
    <w:rsid w:val="612337D6"/>
    <w:rsid w:val="6F7B6738"/>
    <w:rsid w:val="7C5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3F8546D"/>
  <w15:docId w15:val="{C85FF9C4-5757-4DF2-AAC0-8BAB618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ind w:left="558" w:hanging="418"/>
      <w:jc w:val="left"/>
      <w:outlineLvl w:val="0"/>
    </w:pPr>
    <w:rPr>
      <w:rFonts w:ascii="微软雅黑" w:eastAsia="微软雅黑" w:hAnsi="微软雅黑" w:cs="微软雅黑"/>
      <w:b/>
      <w:bCs/>
      <w:i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jc w:val="left"/>
    </w:pPr>
    <w:rPr>
      <w:kern w:val="0"/>
      <w:sz w:val="24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214</Characters>
  <Application>Microsoft Office Word</Application>
  <DocSecurity>0</DocSecurity>
  <Lines>16</Lines>
  <Paragraphs>16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3</cp:revision>
  <cp:lastPrinted>2018-09-05T09:21:00Z</cp:lastPrinted>
  <dcterms:created xsi:type="dcterms:W3CDTF">2019-10-30T01:42:00Z</dcterms:created>
  <dcterms:modified xsi:type="dcterms:W3CDTF">2026-06-23T02:43:00Z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9AA16D02785947748183763ACF644549_13</vt:lpwstr>
  </property>
</Properties>
</file>