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9E1D" w14:textId="77777777" w:rsidR="00D97C01" w:rsidRDefault="00000000">
      <w:pPr>
        <w:pStyle w:val="a6"/>
        <w:widowControl/>
        <w:shd w:val="clear" w:color="auto" w:fill="FFFFFF"/>
        <w:spacing w:line="315" w:lineRule="atLeast"/>
        <w:jc w:val="both"/>
        <w:rPr>
          <w:rFonts w:ascii="仿宋" w:eastAsia="仿宋" w:hAnsi="仿宋" w:cs="仿宋" w:hint="eastAsia"/>
          <w:b/>
          <w:bCs/>
          <w:color w:val="3B3B3B"/>
          <w:spacing w:val="10"/>
          <w:sz w:val="32"/>
          <w:szCs w:val="32"/>
          <w:shd w:val="clear" w:color="auto" w:fill="FFFFFF"/>
        </w:rPr>
      </w:pPr>
      <w:bookmarkStart w:id="0" w:name="正文"/>
      <w:r>
        <w:rPr>
          <w:rFonts w:ascii="黑体" w:eastAsia="黑体" w:hAnsi="黑体" w:hint="eastAsia"/>
          <w:bCs/>
          <w:kern w:val="2"/>
          <w:sz w:val="32"/>
          <w:szCs w:val="32"/>
        </w:rPr>
        <w:t>附件1</w:t>
      </w:r>
      <w:r>
        <w:rPr>
          <w:rFonts w:ascii="黑体" w:eastAsia="黑体" w:hAnsi="黑体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color w:val="3B3B3B"/>
          <w:spacing w:val="10"/>
          <w:sz w:val="32"/>
          <w:szCs w:val="32"/>
          <w:shd w:val="clear" w:color="auto" w:fill="FFFFFF"/>
        </w:rPr>
        <w:t xml:space="preserve">         </w:t>
      </w:r>
    </w:p>
    <w:p w14:paraId="25EE7B4E" w14:textId="77777777" w:rsidR="00D97C01" w:rsidRDefault="00000000">
      <w:pPr>
        <w:pStyle w:val="a6"/>
        <w:widowControl/>
        <w:shd w:val="clear" w:color="auto" w:fill="FFFFFF"/>
        <w:spacing w:line="315" w:lineRule="atLeast"/>
        <w:jc w:val="center"/>
        <w:rPr>
          <w:rFonts w:ascii="宋体" w:hAnsi="宋体" w:hint="eastAsia"/>
          <w:b/>
          <w:kern w:val="2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课程安排及大纲</w:t>
      </w:r>
    </w:p>
    <w:tbl>
      <w:tblPr>
        <w:tblW w:w="9514" w:type="dxa"/>
        <w:jc w:val="center"/>
        <w:tblLook w:val="04A0" w:firstRow="1" w:lastRow="0" w:firstColumn="1" w:lastColumn="0" w:noHBand="0" w:noVBand="1"/>
      </w:tblPr>
      <w:tblGrid>
        <w:gridCol w:w="2729"/>
        <w:gridCol w:w="911"/>
        <w:gridCol w:w="1556"/>
        <w:gridCol w:w="4318"/>
      </w:tblGrid>
      <w:tr w:rsidR="00D97C01" w14:paraId="47A6E9E7" w14:textId="77777777">
        <w:trPr>
          <w:trHeight w:val="655"/>
          <w:tblHeader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EBF7"/>
            <w:vAlign w:val="center"/>
          </w:tcPr>
          <w:p w14:paraId="48FD1EBA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科目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EBF7"/>
            <w:vAlign w:val="center"/>
          </w:tcPr>
          <w:p w14:paraId="319092AC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257A6CE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授课内容</w:t>
            </w:r>
          </w:p>
        </w:tc>
      </w:tr>
      <w:tr w:rsidR="00D97C01" w14:paraId="3915D318" w14:textId="77777777">
        <w:trPr>
          <w:trHeight w:val="912"/>
          <w:jc w:val="center"/>
        </w:trPr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1E2E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信息系统运维工程师（初级）&amp;集成适配工程师（初级）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ADB1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初级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371D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理解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4F3E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发展现状，国产服务器 CPU 和操作系统的发展状态</w:t>
            </w:r>
          </w:p>
        </w:tc>
      </w:tr>
      <w:tr w:rsidR="00D97C01" w14:paraId="202DBC70" w14:textId="77777777">
        <w:trPr>
          <w:trHeight w:val="912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03D5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BA20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3CDC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信创系统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硬件技术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897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网络控制器芯片、国内整机、国产存储和打印设备的现状及问题</w:t>
            </w:r>
          </w:p>
        </w:tc>
      </w:tr>
      <w:tr w:rsidR="00D97C01" w14:paraId="21CF15B5" w14:textId="77777777">
        <w:trPr>
          <w:trHeight w:val="826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D787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0A6C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36F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信创系统软件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2DFE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国产办公软件、国产数据库、国产中间件的应用情况</w:t>
            </w:r>
          </w:p>
        </w:tc>
      </w:tr>
      <w:tr w:rsidR="00D97C01" w14:paraId="782FC14A" w14:textId="77777777">
        <w:trPr>
          <w:trHeight w:val="869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8F95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FDE6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584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信创系统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周边产品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F2E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国产软件测试工具、商用密码、漏洞管理及安全设备的情况介绍</w:t>
            </w:r>
          </w:p>
        </w:tc>
      </w:tr>
      <w:tr w:rsidR="00D97C01" w14:paraId="397B7786" w14:textId="77777777">
        <w:trPr>
          <w:jc w:val="center"/>
        </w:trPr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1C42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信息安全工程师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ADE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中级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06C9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网络安全知识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3972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熟悉网络架构和协议，能够设计、配置和维护防火墙、入侵检测系统和其他网络安全设施。</w:t>
            </w:r>
          </w:p>
        </w:tc>
      </w:tr>
      <w:tr w:rsidR="00D97C01" w14:paraId="3026BA09" w14:textId="77777777">
        <w:trPr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107E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902E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2FD1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系统安全知识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4F7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了解操作系统、数据库和应用程序的工作原理，能够进行安全加固、补丁管理和漏洞扫描。</w:t>
            </w:r>
          </w:p>
        </w:tc>
      </w:tr>
      <w:tr w:rsidR="00D97C01" w14:paraId="601CCBD4" w14:textId="77777777">
        <w:trPr>
          <w:trHeight w:val="869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C662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72A5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0401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加密和数据保护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489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掌握加密技术原理和实践，能够实施数据加密、访问控制和数据备份恢复策略。</w:t>
            </w:r>
          </w:p>
        </w:tc>
      </w:tr>
      <w:tr w:rsidR="00D97C01" w14:paraId="69A2C76D" w14:textId="77777777">
        <w:trPr>
          <w:trHeight w:val="930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7156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CA9B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7866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Web漏洞防御解析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9D99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安全防御基础，常见Web漏洞形成原理、场景及防御方法</w:t>
            </w:r>
          </w:p>
        </w:tc>
      </w:tr>
      <w:tr w:rsidR="00D97C01" w14:paraId="5F9EDC37" w14:textId="77777777">
        <w:trPr>
          <w:trHeight w:val="1033"/>
          <w:jc w:val="center"/>
        </w:trPr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A06D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数据库工程师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4ACA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中级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1560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数据库基础理论与环境搭建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F69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主流 /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信创数据库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架构特性，SQL 核心语法，数据库安装配置与权限基础</w:t>
            </w:r>
          </w:p>
        </w:tc>
      </w:tr>
      <w:tr w:rsidR="00D97C01" w14:paraId="504F9265" w14:textId="77777777">
        <w:trPr>
          <w:trHeight w:val="1104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1041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8B7F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409B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数据库设计开发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与信创兼容</w:t>
            </w:r>
            <w:proofErr w:type="gramEnd"/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605C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企业级数据库建模、分库分表设计，SQL 进阶开发，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信创数据库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语法差异与适配实战。</w:t>
            </w:r>
          </w:p>
        </w:tc>
      </w:tr>
      <w:tr w:rsidR="00D97C01" w14:paraId="7D395080" w14:textId="77777777">
        <w:trPr>
          <w:trHeight w:val="1076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18F7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8143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D6C2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维安全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与高可用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AE23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备份恢复、故障排查、监控管理，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信创运维工具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使用，数据加密与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等保合规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防护，高可用集群搭建。</w:t>
            </w:r>
          </w:p>
        </w:tc>
      </w:tr>
      <w:tr w:rsidR="00D97C01" w14:paraId="2E00C209" w14:textId="77777777">
        <w:trPr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22BE6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EAD187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4D9A5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数据库性能优化与综合实战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E723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索引与 SQL 优化、服务器资源调优，传统数据库向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迁移，企业项目全流程实操与考核。</w:t>
            </w:r>
          </w:p>
        </w:tc>
      </w:tr>
      <w:tr w:rsidR="00D97C01" w14:paraId="1CCC0AE5" w14:textId="77777777">
        <w:trPr>
          <w:trHeight w:val="530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820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办公软件应用工程师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010D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中级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2A0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公软件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基础知识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8430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信创基础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知识</w:t>
            </w:r>
          </w:p>
        </w:tc>
      </w:tr>
      <w:tr w:rsidR="00D97C01" w14:paraId="34DBF03C" w14:textId="77777777">
        <w:trPr>
          <w:trHeight w:val="529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46B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3AD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F6B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AEDB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演示文稿处理</w:t>
            </w:r>
          </w:p>
        </w:tc>
      </w:tr>
      <w:tr w:rsidR="00D97C01" w14:paraId="5E20A620" w14:textId="77777777">
        <w:trPr>
          <w:trHeight w:val="540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0C94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815A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FA3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公软件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应用技术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72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公软件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常用功能操作</w:t>
            </w:r>
          </w:p>
        </w:tc>
      </w:tr>
      <w:tr w:rsidR="00D97C01" w14:paraId="5AC84E62" w14:textId="77777777">
        <w:trPr>
          <w:trHeight w:val="510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FABC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C15B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FB3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58BF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信创常用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办公设备</w:t>
            </w:r>
          </w:p>
        </w:tc>
      </w:tr>
      <w:tr w:rsidR="00D97C01" w14:paraId="49BFD834" w14:textId="77777777">
        <w:trPr>
          <w:trHeight w:val="510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EBE1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信创应用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管理师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CEE41" w14:textId="77777777" w:rsidR="00D97C01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高级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372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信创产业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发展现状及趋势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E27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发展背景、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发展政策及要求、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现状、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信创产业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发展趋势</w:t>
            </w:r>
          </w:p>
        </w:tc>
      </w:tr>
      <w:tr w:rsidR="00D97C01" w14:paraId="587F1DC5" w14:textId="77777777">
        <w:trPr>
          <w:trHeight w:val="510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62F16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943EC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1E9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信创项目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规划与设计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A4EF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项目规划、需求调研、建设方案设计、成果物交付</w:t>
            </w:r>
          </w:p>
        </w:tc>
      </w:tr>
      <w:tr w:rsidR="00D97C01" w14:paraId="575D1475" w14:textId="77777777">
        <w:trPr>
          <w:trHeight w:val="510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EA35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AC5A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BBE7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基础设施平台建设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A7F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基础设施平台设计、设计要点、设计案例</w:t>
            </w:r>
          </w:p>
        </w:tc>
      </w:tr>
      <w:tr w:rsidR="00D97C01" w14:paraId="7331BADD" w14:textId="77777777">
        <w:trPr>
          <w:trHeight w:val="510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C30B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53E1C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C18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信息资源规划、数据共享与应用系统设计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38F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szCs w:val="21"/>
              </w:rPr>
              <w:t>信息资源规划意义及要求、数据共享相关政策要求、新建应用系统设计方法、应用</w:t>
            </w:r>
            <w:proofErr w:type="gramStart"/>
            <w:r>
              <w:rPr>
                <w:rFonts w:eastAsia="仿宋_GB2312" w:hint="eastAsia"/>
                <w:szCs w:val="21"/>
              </w:rPr>
              <w:t>系统迁多方法</w:t>
            </w:r>
            <w:proofErr w:type="gramEnd"/>
            <w:r>
              <w:rPr>
                <w:rFonts w:eastAsia="仿宋_GB2312" w:hint="eastAsia"/>
                <w:szCs w:val="21"/>
              </w:rPr>
              <w:t>、应用系统改造方法、信息资源共享的规划与数据库设计的具体方法</w:t>
            </w:r>
          </w:p>
        </w:tc>
      </w:tr>
      <w:tr w:rsidR="00D97C01" w14:paraId="4FAEB6AB" w14:textId="77777777">
        <w:trPr>
          <w:trHeight w:val="510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ADCA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01D0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63D3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信创安全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建设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8A2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信创安全</w:t>
            </w:r>
            <w:proofErr w:type="gramEnd"/>
            <w:r>
              <w:rPr>
                <w:rFonts w:eastAsia="仿宋_GB2312" w:hint="eastAsia"/>
                <w:szCs w:val="21"/>
              </w:rPr>
              <w:t>建设要求、安全设计及测评要求</w:t>
            </w:r>
          </w:p>
        </w:tc>
      </w:tr>
      <w:tr w:rsidR="00D97C01" w14:paraId="24D0B22D" w14:textId="77777777">
        <w:trPr>
          <w:trHeight w:val="510"/>
          <w:jc w:val="center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9376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011CD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A9BC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信创云及信创云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平台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6FB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信创云相关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政策及规划、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基于信创的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云平台、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信创云应用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现状及发展趋势</w:t>
            </w:r>
          </w:p>
        </w:tc>
      </w:tr>
      <w:tr w:rsidR="00D97C01" w14:paraId="76B06F01" w14:textId="77777777">
        <w:trPr>
          <w:trHeight w:val="510"/>
          <w:jc w:val="center"/>
        </w:trPr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DC3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4BE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8D17" w14:textId="77777777" w:rsidR="00D97C01" w:rsidRDefault="00000000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项目建议书编制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6A72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项目建议书的编制方法、可行性研究报告和投资估算的编制方法、初步设计及投资概算编制方法、文档编制的注意事项</w:t>
            </w:r>
          </w:p>
        </w:tc>
      </w:tr>
      <w:tr w:rsidR="00D97C01" w14:paraId="5112B2FD" w14:textId="77777777">
        <w:trPr>
          <w:trHeight w:val="841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02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信创集成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项目管理师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D31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3C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系统集成环境要素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AEB2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了解信创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集成的背景、相关政策、建设要求，以及安全设计和测评要求</w:t>
            </w:r>
          </w:p>
        </w:tc>
      </w:tr>
      <w:tr w:rsidR="00D97C01" w14:paraId="16F84999" w14:textId="77777777">
        <w:trPr>
          <w:trHeight w:val="783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9F6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B57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4CE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系统集成策略要点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166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数据集成与风险，基本防御策略、特权账户、零信任、新技术风险、AI防御</w:t>
            </w:r>
          </w:p>
        </w:tc>
      </w:tr>
      <w:tr w:rsidR="00D97C01" w14:paraId="2537CBA8" w14:textId="77777777">
        <w:trPr>
          <w:trHeight w:val="840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29A7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D8EB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C6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系统集成案例解析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BBA1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系统安全威胁及案例，现货商品交易平台、高校业务系统、银行征信系统等</w:t>
            </w:r>
          </w:p>
        </w:tc>
      </w:tr>
      <w:tr w:rsidR="00D97C01" w14:paraId="4E6128D2" w14:textId="77777777">
        <w:trPr>
          <w:trHeight w:val="912"/>
          <w:jc w:val="center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066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F71F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9F1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安全策略制定与实施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227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大规模数据泄露案例及防御、威胁情报整合</w:t>
            </w:r>
          </w:p>
        </w:tc>
      </w:tr>
      <w:tr w:rsidR="00D97C01" w14:paraId="34E8A1C4" w14:textId="77777777">
        <w:trPr>
          <w:trHeight w:val="794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D470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信创规划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管理师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7F7E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BE1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系统规划与构成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853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身份认证、访问控制、授权、资产保护、审计的规划与架构实现</w:t>
            </w:r>
          </w:p>
        </w:tc>
      </w:tr>
      <w:tr w:rsidR="00D97C01" w14:paraId="05D1D864" w14:textId="77777777">
        <w:trPr>
          <w:trHeight w:val="511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2AFAC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A40AA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F71CD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规划管理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DC095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安全技术体系规划</w:t>
            </w:r>
          </w:p>
        </w:tc>
      </w:tr>
      <w:tr w:rsidR="00D97C01" w14:paraId="2EFC1E8C" w14:textId="77777777">
        <w:trPr>
          <w:trHeight w:val="740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3A03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信创系统架构师</w:t>
            </w:r>
            <w:proofErr w:type="gram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5C15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670D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技术架构与设计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13E5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机密性、完整性、可用性，最小化原则，规划与架构的基本原则</w:t>
            </w:r>
          </w:p>
        </w:tc>
      </w:tr>
      <w:tr w:rsidR="00D97C01" w14:paraId="70FE7211" w14:textId="77777777">
        <w:trPr>
          <w:trHeight w:val="788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AFFD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2931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240D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架构分解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EC1A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安全技术体系架构，网络和通信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层安全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架构，应用和数据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层安全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架构</w:t>
            </w:r>
          </w:p>
        </w:tc>
      </w:tr>
      <w:tr w:rsidR="00D97C01" w14:paraId="588C4830" w14:textId="77777777">
        <w:trPr>
          <w:trHeight w:val="773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E119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5DB6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030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系统风险评估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23AB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资产识别、威胁识别、脆弱性识别，网络安全和数据安全风险评估流程及方法</w:t>
            </w:r>
          </w:p>
        </w:tc>
      </w:tr>
      <w:tr w:rsidR="00D97C01" w14:paraId="3422F5D2" w14:textId="77777777">
        <w:trPr>
          <w:trHeight w:val="640"/>
          <w:jc w:val="center"/>
        </w:trPr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36F3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信创系统开发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工程师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D621" w14:textId="77777777" w:rsidR="00D97C01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高级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7F42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信创核心开发</w:t>
            </w:r>
            <w:proofErr w:type="gramEnd"/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0DED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Java开发适配与Web项目实战</w:t>
            </w:r>
          </w:p>
        </w:tc>
      </w:tr>
      <w:tr w:rsidR="00D97C01" w14:paraId="61C51ACB" w14:textId="77777777">
        <w:trPr>
          <w:trHeight w:val="669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4006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02A5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2CF6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国产化中间件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BBF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国产化中间件深度应用</w:t>
            </w:r>
          </w:p>
        </w:tc>
      </w:tr>
      <w:tr w:rsidR="00D97C01" w14:paraId="4BAE41DD" w14:textId="77777777">
        <w:trPr>
          <w:trHeight w:val="851"/>
          <w:jc w:val="center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C7C5" w14:textId="77777777" w:rsidR="00D97C01" w:rsidRDefault="00D97C01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AB3C" w14:textId="77777777" w:rsidR="00D97C01" w:rsidRDefault="00D97C01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C808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系统迁移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AD54" w14:textId="77777777" w:rsidR="00D97C01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传统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系统信创迁移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方案设计与兼容性问题解决</w:t>
            </w:r>
          </w:p>
        </w:tc>
      </w:tr>
    </w:tbl>
    <w:p w14:paraId="772186A9" w14:textId="77777777" w:rsidR="00D97C01" w:rsidRDefault="00D97C01"/>
    <w:p w14:paraId="5C37F741" w14:textId="77777777" w:rsidR="00D97C01" w:rsidRDefault="00D97C01"/>
    <w:p w14:paraId="6A156E2C" w14:textId="77777777" w:rsidR="00D97C01" w:rsidRDefault="00D97C01"/>
    <w:p w14:paraId="53308DF6" w14:textId="77777777" w:rsidR="00D97C01" w:rsidRDefault="00000000">
      <w:pPr>
        <w:ind w:firstLineChars="1300" w:firstLine="442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color w:val="3B3B3B"/>
          <w:spacing w:val="10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bookmarkEnd w:id="0"/>
    <w:p w14:paraId="427969B1" w14:textId="77777777" w:rsidR="00D97C01" w:rsidRDefault="00D97C01" w:rsidP="000D4EDC"/>
    <w:sectPr w:rsidR="00D97C01" w:rsidSect="000D4EDC">
      <w:headerReference w:type="default" r:id="rId8"/>
      <w:pgSz w:w="11906" w:h="16838"/>
      <w:pgMar w:top="1440" w:right="1293" w:bottom="1440" w:left="12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BE1B" w14:textId="77777777" w:rsidR="00C0644D" w:rsidRDefault="00C0644D">
      <w:r>
        <w:separator/>
      </w:r>
    </w:p>
  </w:endnote>
  <w:endnote w:type="continuationSeparator" w:id="0">
    <w:p w14:paraId="3DC0E8A1" w14:textId="77777777" w:rsidR="00C0644D" w:rsidRDefault="00C0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7190" w14:textId="77777777" w:rsidR="00C0644D" w:rsidRDefault="00C0644D">
      <w:r>
        <w:separator/>
      </w:r>
    </w:p>
  </w:footnote>
  <w:footnote w:type="continuationSeparator" w:id="0">
    <w:p w14:paraId="1B392A1E" w14:textId="77777777" w:rsidR="00C0644D" w:rsidRDefault="00C0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9E07" w14:textId="77777777" w:rsidR="00D97C01" w:rsidRDefault="00D97C0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A03"/>
    <w:multiLevelType w:val="multilevel"/>
    <w:tmpl w:val="16502A03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481ED9"/>
    <w:multiLevelType w:val="multilevel"/>
    <w:tmpl w:val="27481ED9"/>
    <w:lvl w:ilvl="0">
      <w:start w:val="1"/>
      <w:numFmt w:val="japaneseCounting"/>
      <w:lvlText w:val="（%1）"/>
      <w:lvlJc w:val="left"/>
      <w:pPr>
        <w:ind w:left="1789" w:hanging="1080"/>
      </w:pPr>
      <w:rPr>
        <w:rFonts w:ascii="仿宋" w:eastAsia="仿宋" w:hAnsi="仿宋" w:cs="仿宋" w:hint="default"/>
        <w:color w:val="3B3B3B"/>
      </w:rPr>
    </w:lvl>
    <w:lvl w:ilvl="1">
      <w:start w:val="1"/>
      <w:numFmt w:val="lowerLetter"/>
      <w:lvlText w:val="%2)"/>
      <w:lvlJc w:val="left"/>
      <w:pPr>
        <w:ind w:left="1589" w:hanging="440"/>
      </w:pPr>
    </w:lvl>
    <w:lvl w:ilvl="2">
      <w:start w:val="1"/>
      <w:numFmt w:val="lowerRoman"/>
      <w:lvlText w:val="%3."/>
      <w:lvlJc w:val="right"/>
      <w:pPr>
        <w:ind w:left="2029" w:hanging="440"/>
      </w:pPr>
    </w:lvl>
    <w:lvl w:ilvl="3">
      <w:start w:val="1"/>
      <w:numFmt w:val="decimal"/>
      <w:lvlText w:val="%4."/>
      <w:lvlJc w:val="left"/>
      <w:pPr>
        <w:ind w:left="2469" w:hanging="440"/>
      </w:pPr>
    </w:lvl>
    <w:lvl w:ilvl="4">
      <w:start w:val="1"/>
      <w:numFmt w:val="lowerLetter"/>
      <w:lvlText w:val="%5)"/>
      <w:lvlJc w:val="left"/>
      <w:pPr>
        <w:ind w:left="2909" w:hanging="440"/>
      </w:pPr>
    </w:lvl>
    <w:lvl w:ilvl="5">
      <w:start w:val="1"/>
      <w:numFmt w:val="lowerRoman"/>
      <w:lvlText w:val="%6."/>
      <w:lvlJc w:val="right"/>
      <w:pPr>
        <w:ind w:left="3349" w:hanging="440"/>
      </w:pPr>
    </w:lvl>
    <w:lvl w:ilvl="6">
      <w:start w:val="1"/>
      <w:numFmt w:val="decimal"/>
      <w:lvlText w:val="%7."/>
      <w:lvlJc w:val="left"/>
      <w:pPr>
        <w:ind w:left="3789" w:hanging="440"/>
      </w:pPr>
    </w:lvl>
    <w:lvl w:ilvl="7">
      <w:start w:val="1"/>
      <w:numFmt w:val="lowerLetter"/>
      <w:lvlText w:val="%8)"/>
      <w:lvlJc w:val="left"/>
      <w:pPr>
        <w:ind w:left="4229" w:hanging="440"/>
      </w:pPr>
    </w:lvl>
    <w:lvl w:ilvl="8">
      <w:start w:val="1"/>
      <w:numFmt w:val="lowerRoman"/>
      <w:lvlText w:val="%9."/>
      <w:lvlJc w:val="right"/>
      <w:pPr>
        <w:ind w:left="4669" w:hanging="440"/>
      </w:pPr>
    </w:lvl>
  </w:abstractNum>
  <w:num w:numId="1" w16cid:durableId="1134443415">
    <w:abstractNumId w:val="0"/>
  </w:num>
  <w:num w:numId="2" w16cid:durableId="401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C9A"/>
    <w:rsid w:val="0007000F"/>
    <w:rsid w:val="000B75DD"/>
    <w:rsid w:val="000D4EDC"/>
    <w:rsid w:val="00192D0D"/>
    <w:rsid w:val="00237AF2"/>
    <w:rsid w:val="00420F1C"/>
    <w:rsid w:val="00674C9A"/>
    <w:rsid w:val="0088004C"/>
    <w:rsid w:val="0095304D"/>
    <w:rsid w:val="00991332"/>
    <w:rsid w:val="00A2143D"/>
    <w:rsid w:val="00BD3317"/>
    <w:rsid w:val="00C0644D"/>
    <w:rsid w:val="00CA7CE9"/>
    <w:rsid w:val="00D97C01"/>
    <w:rsid w:val="00DE629D"/>
    <w:rsid w:val="00E15615"/>
    <w:rsid w:val="00E721A2"/>
    <w:rsid w:val="04AA1196"/>
    <w:rsid w:val="04B3687A"/>
    <w:rsid w:val="05C25634"/>
    <w:rsid w:val="05F9269C"/>
    <w:rsid w:val="0637437A"/>
    <w:rsid w:val="092752BD"/>
    <w:rsid w:val="0C077B94"/>
    <w:rsid w:val="0E5726FD"/>
    <w:rsid w:val="0F96368D"/>
    <w:rsid w:val="1179171E"/>
    <w:rsid w:val="14EA4F9F"/>
    <w:rsid w:val="15112E59"/>
    <w:rsid w:val="1A5579D0"/>
    <w:rsid w:val="1F0A04B7"/>
    <w:rsid w:val="1F291E28"/>
    <w:rsid w:val="1FED394C"/>
    <w:rsid w:val="2445679B"/>
    <w:rsid w:val="26581A45"/>
    <w:rsid w:val="2CE73A8D"/>
    <w:rsid w:val="32AE6F6F"/>
    <w:rsid w:val="35683252"/>
    <w:rsid w:val="39DC7D6B"/>
    <w:rsid w:val="45FF2D59"/>
    <w:rsid w:val="489D2722"/>
    <w:rsid w:val="54FC70BB"/>
    <w:rsid w:val="576C7C19"/>
    <w:rsid w:val="58F96A79"/>
    <w:rsid w:val="68BE709A"/>
    <w:rsid w:val="6AA844F1"/>
    <w:rsid w:val="6CC35974"/>
    <w:rsid w:val="6EAD33F6"/>
    <w:rsid w:val="70303A52"/>
    <w:rsid w:val="71F70DEA"/>
    <w:rsid w:val="71FB08A5"/>
    <w:rsid w:val="759C1824"/>
    <w:rsid w:val="77FA2B42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020E2A"/>
  <w15:docId w15:val="{CA342A91-3E8B-423A-B2AF-DDAF9351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b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770</Words>
  <Characters>810</Characters>
  <Application>Microsoft Office Word</Application>
  <DocSecurity>0</DocSecurity>
  <Lines>135</Lines>
  <Paragraphs>121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</dc:creator>
  <cp:lastModifiedBy>zhengjj@ccace.org.cn</cp:lastModifiedBy>
  <cp:revision>5</cp:revision>
  <dcterms:created xsi:type="dcterms:W3CDTF">2025-01-07T01:56:00Z</dcterms:created>
  <dcterms:modified xsi:type="dcterms:W3CDTF">2026-01-21T01:45:00Z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eyJoZGlkIjoiNTJiMDZjY2RjM2IwODdkMzUyYzgzMzVhMTQzNGEyZjAiLCJ1c2VySWQiOiIyNDk4NTIyMjQifQ==</vt:lpwstr>
  </property>
  <property fmtid="{D5CDD505-2E9C-101B-9397-08002B2CF9AE}" pid="4" name="ICV">
    <vt:lpwstr>8EA5106BB27B4D15B4DD142110754861_12</vt:lpwstr>
  </property>
</Properties>
</file>