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3949" w14:textId="77777777" w:rsidR="00F80C18" w:rsidRDefault="00000000">
      <w:pPr>
        <w:spacing w:line="360" w:lineRule="auto"/>
        <w:rPr>
          <w:rFonts w:ascii="黑体" w:eastAsia="黑体" w:hAnsi="黑体" w:cs="宋体" w:hint="eastAsia"/>
          <w:color w:val="000000"/>
          <w:spacing w:val="8"/>
          <w:kern w:val="0"/>
          <w:sz w:val="32"/>
          <w:szCs w:val="32"/>
        </w:rPr>
      </w:pPr>
      <w:bookmarkStart w:id="0" w:name="正文"/>
      <w:r>
        <w:rPr>
          <w:rFonts w:ascii="黑体" w:eastAsia="黑体" w:hAnsi="黑体" w:cs="宋体" w:hint="eastAsia"/>
          <w:color w:val="000000"/>
          <w:spacing w:val="8"/>
          <w:kern w:val="0"/>
          <w:sz w:val="32"/>
          <w:szCs w:val="32"/>
        </w:rPr>
        <w:t>附件1</w:t>
      </w:r>
    </w:p>
    <w:p w14:paraId="5B0E7983" w14:textId="77777777" w:rsidR="00F80C18" w:rsidRDefault="00000000">
      <w:pPr>
        <w:widowControl/>
        <w:shd w:val="clear" w:color="auto" w:fill="FFFFFF" w:themeFill="background1"/>
        <w:jc w:val="center"/>
        <w:rPr>
          <w:rFonts w:ascii="宋体" w:hAnsi="宋体" w:cs="宋体" w:hint="eastAsia"/>
          <w:b/>
          <w:bCs/>
          <w:color w:val="000000"/>
          <w:spacing w:val="8"/>
          <w:kern w:val="0"/>
          <w:sz w:val="36"/>
          <w:szCs w:val="36"/>
        </w:rPr>
      </w:pPr>
      <w:r>
        <w:rPr>
          <w:rFonts w:ascii="宋体" w:hAnsi="宋体" w:cs="宋体" w:hint="eastAsia"/>
          <w:b/>
          <w:bCs/>
          <w:color w:val="000000"/>
          <w:spacing w:val="8"/>
          <w:kern w:val="0"/>
          <w:sz w:val="36"/>
          <w:szCs w:val="36"/>
        </w:rPr>
        <w:t>CCRC-PIPP课程大纲</w:t>
      </w:r>
    </w:p>
    <w:p w14:paraId="5558882E" w14:textId="77777777" w:rsidR="00F80C18" w:rsidRDefault="00F80C18">
      <w:pPr>
        <w:widowControl/>
        <w:shd w:val="clear" w:color="auto" w:fill="FFFFFF" w:themeFill="background1"/>
        <w:spacing w:line="540" w:lineRule="exact"/>
        <w:rPr>
          <w:rFonts w:ascii="仿宋" w:eastAsia="仿宋" w:hAnsi="仿宋" w:cs="宋体" w:hint="eastAsia"/>
          <w:color w:val="000000"/>
          <w:spacing w:val="8"/>
          <w:kern w:val="0"/>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4090"/>
        <w:gridCol w:w="5544"/>
      </w:tblGrid>
      <w:tr w:rsidR="00F80C18" w14:paraId="00E6AE08" w14:textId="77777777">
        <w:trPr>
          <w:trHeight w:val="23"/>
          <w:tblHeader/>
          <w:jc w:val="center"/>
        </w:trPr>
        <w:tc>
          <w:tcPr>
            <w:tcW w:w="4090" w:type="dxa"/>
            <w:shd w:val="clear" w:color="auto" w:fill="FFFFFF" w:themeFill="background1"/>
            <w:tcMar>
              <w:top w:w="0" w:type="dxa"/>
              <w:left w:w="105" w:type="dxa"/>
              <w:bottom w:w="0" w:type="dxa"/>
              <w:right w:w="105" w:type="dxa"/>
            </w:tcMar>
            <w:vAlign w:val="center"/>
          </w:tcPr>
          <w:p w14:paraId="406D34A3" w14:textId="77777777" w:rsidR="00F80C18" w:rsidRDefault="00000000">
            <w:pPr>
              <w:widowControl/>
              <w:shd w:val="clear" w:color="auto" w:fill="FFFFFF" w:themeFill="background1"/>
              <w:jc w:val="center"/>
              <w:rPr>
                <w:rFonts w:ascii="黑体" w:eastAsia="黑体" w:hAnsi="黑体" w:cs="黑体" w:hint="eastAsia"/>
                <w:color w:val="000000"/>
                <w:spacing w:val="8"/>
                <w:kern w:val="0"/>
                <w:sz w:val="24"/>
              </w:rPr>
            </w:pPr>
            <w:r>
              <w:rPr>
                <w:rFonts w:ascii="黑体" w:eastAsia="黑体" w:hAnsi="黑体" w:cs="黑体" w:hint="eastAsia"/>
                <w:color w:val="000000"/>
                <w:spacing w:val="8"/>
                <w:kern w:val="0"/>
                <w:sz w:val="24"/>
              </w:rPr>
              <w:t>课程模块</w:t>
            </w:r>
          </w:p>
        </w:tc>
        <w:tc>
          <w:tcPr>
            <w:tcW w:w="5544" w:type="dxa"/>
            <w:shd w:val="clear" w:color="auto" w:fill="FFFFFF" w:themeFill="background1"/>
            <w:tcMar>
              <w:top w:w="0" w:type="dxa"/>
              <w:left w:w="105" w:type="dxa"/>
              <w:bottom w:w="0" w:type="dxa"/>
              <w:right w:w="105" w:type="dxa"/>
            </w:tcMar>
            <w:vAlign w:val="center"/>
          </w:tcPr>
          <w:p w14:paraId="38892895" w14:textId="77777777" w:rsidR="00F80C18" w:rsidRDefault="00000000">
            <w:pPr>
              <w:widowControl/>
              <w:shd w:val="clear" w:color="auto" w:fill="FFFFFF" w:themeFill="background1"/>
              <w:jc w:val="center"/>
              <w:rPr>
                <w:rFonts w:ascii="黑体" w:eastAsia="黑体" w:hAnsi="黑体" w:cs="黑体" w:hint="eastAsia"/>
                <w:color w:val="000000"/>
                <w:spacing w:val="8"/>
                <w:kern w:val="0"/>
                <w:sz w:val="24"/>
              </w:rPr>
            </w:pPr>
            <w:r>
              <w:rPr>
                <w:rFonts w:ascii="黑体" w:eastAsia="黑体" w:hAnsi="黑体" w:cs="黑体" w:hint="eastAsia"/>
                <w:color w:val="000000"/>
                <w:spacing w:val="8"/>
                <w:kern w:val="0"/>
                <w:sz w:val="24"/>
              </w:rPr>
              <w:t>课程内容简介</w:t>
            </w:r>
          </w:p>
        </w:tc>
      </w:tr>
      <w:tr w:rsidR="00F80C18" w14:paraId="56A75F73"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2CAF0A7A"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CCRC-PIPP培训课程导论</w:t>
            </w:r>
          </w:p>
        </w:tc>
        <w:tc>
          <w:tcPr>
            <w:tcW w:w="5544" w:type="dxa"/>
            <w:shd w:val="clear" w:color="auto" w:fill="FFFFFF" w:themeFill="background1"/>
            <w:tcMar>
              <w:top w:w="0" w:type="dxa"/>
              <w:left w:w="105" w:type="dxa"/>
              <w:bottom w:w="0" w:type="dxa"/>
              <w:right w:w="105" w:type="dxa"/>
            </w:tcMar>
            <w:vAlign w:val="center"/>
          </w:tcPr>
          <w:p w14:paraId="5231AC2F"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介绍CCRC-PIP认证体系、培训体系、教学实践和个人信息保护基本概念</w:t>
            </w:r>
          </w:p>
        </w:tc>
      </w:tr>
      <w:tr w:rsidR="00F80C18" w14:paraId="6C939F58"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6E05B529"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个人信息保护领域法律基础</w:t>
            </w:r>
          </w:p>
        </w:tc>
        <w:tc>
          <w:tcPr>
            <w:tcW w:w="5544" w:type="dxa"/>
            <w:shd w:val="clear" w:color="auto" w:fill="FFFFFF" w:themeFill="background1"/>
            <w:tcMar>
              <w:top w:w="0" w:type="dxa"/>
              <w:left w:w="105" w:type="dxa"/>
              <w:bottom w:w="0" w:type="dxa"/>
              <w:right w:w="105" w:type="dxa"/>
            </w:tcMar>
            <w:vAlign w:val="center"/>
          </w:tcPr>
          <w:p w14:paraId="6C03E5CB"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以个人信息保护为出发点，讲解相关重要法律法规及政策要点及要求</w:t>
            </w:r>
          </w:p>
        </w:tc>
      </w:tr>
      <w:tr w:rsidR="00F80C18" w14:paraId="5FC974AB"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7654E3E2"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个人信息保护司法、执法协助指引</w:t>
            </w:r>
          </w:p>
        </w:tc>
        <w:tc>
          <w:tcPr>
            <w:tcW w:w="5544" w:type="dxa"/>
            <w:shd w:val="clear" w:color="auto" w:fill="FFFFFF" w:themeFill="background1"/>
            <w:tcMar>
              <w:top w:w="0" w:type="dxa"/>
              <w:left w:w="105" w:type="dxa"/>
              <w:bottom w:w="0" w:type="dxa"/>
              <w:right w:w="105" w:type="dxa"/>
            </w:tcMar>
            <w:vAlign w:val="center"/>
          </w:tcPr>
          <w:p w14:paraId="31B74B1D"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个人信息保护相关司法、执法协助情形、接待流程及制度分析讲解</w:t>
            </w:r>
          </w:p>
        </w:tc>
      </w:tr>
      <w:tr w:rsidR="00F80C18" w14:paraId="600C824F"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4E8DBBDB"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风险预防、</w:t>
            </w:r>
          </w:p>
          <w:p w14:paraId="2E6CA470"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监控和应对</w:t>
            </w:r>
          </w:p>
        </w:tc>
        <w:tc>
          <w:tcPr>
            <w:tcW w:w="5544" w:type="dxa"/>
            <w:shd w:val="clear" w:color="auto" w:fill="FFFFFF" w:themeFill="background1"/>
            <w:tcMar>
              <w:top w:w="0" w:type="dxa"/>
              <w:left w:w="105" w:type="dxa"/>
              <w:bottom w:w="0" w:type="dxa"/>
              <w:right w:w="105" w:type="dxa"/>
            </w:tcMar>
            <w:vAlign w:val="center"/>
          </w:tcPr>
          <w:p w14:paraId="18ED3B66"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解析个人信息保护合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风险事前预判以及事中、事后处置控制措施</w:t>
            </w:r>
          </w:p>
        </w:tc>
      </w:tr>
      <w:tr w:rsidR="00F80C18" w14:paraId="5624D2E5"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5AEFEAC3"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审计</w:t>
            </w:r>
          </w:p>
        </w:tc>
        <w:tc>
          <w:tcPr>
            <w:tcW w:w="5544" w:type="dxa"/>
            <w:shd w:val="clear" w:color="auto" w:fill="FFFFFF" w:themeFill="background1"/>
            <w:tcMar>
              <w:top w:w="0" w:type="dxa"/>
              <w:left w:w="105" w:type="dxa"/>
              <w:bottom w:w="0" w:type="dxa"/>
              <w:right w:w="105" w:type="dxa"/>
            </w:tcMar>
            <w:vAlign w:val="center"/>
          </w:tcPr>
          <w:p w14:paraId="410E216B"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分析、介绍个人信息保护合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审计的控制要点、策划与实施</w:t>
            </w:r>
          </w:p>
        </w:tc>
      </w:tr>
      <w:tr w:rsidR="00F80C18" w14:paraId="0AB4377C"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5DBB90E7"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体系搭建</w:t>
            </w:r>
          </w:p>
        </w:tc>
        <w:tc>
          <w:tcPr>
            <w:tcW w:w="5544" w:type="dxa"/>
            <w:shd w:val="clear" w:color="auto" w:fill="FFFFFF" w:themeFill="background1"/>
            <w:tcMar>
              <w:top w:w="0" w:type="dxa"/>
              <w:left w:w="105" w:type="dxa"/>
              <w:bottom w:w="0" w:type="dxa"/>
              <w:right w:w="105" w:type="dxa"/>
            </w:tcMar>
            <w:vAlign w:val="center"/>
          </w:tcPr>
          <w:p w14:paraId="7FB2D577"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框架、组织、制度体系，介绍个人信息保护全场景部署要点，解析个人信息保护制度体系的构成与要点</w:t>
            </w:r>
          </w:p>
        </w:tc>
      </w:tr>
      <w:tr w:rsidR="00F80C18" w14:paraId="0428D080"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3EC15043"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组织建设</w:t>
            </w:r>
          </w:p>
        </w:tc>
        <w:tc>
          <w:tcPr>
            <w:tcW w:w="5544" w:type="dxa"/>
            <w:shd w:val="clear" w:color="auto" w:fill="FFFFFF" w:themeFill="background1"/>
            <w:tcMar>
              <w:top w:w="0" w:type="dxa"/>
              <w:left w:w="105" w:type="dxa"/>
              <w:bottom w:w="0" w:type="dxa"/>
              <w:right w:w="105" w:type="dxa"/>
            </w:tcMar>
            <w:vAlign w:val="center"/>
          </w:tcPr>
          <w:p w14:paraId="1930E75E"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解析个人信息保护组织体系架构及各类各级组织权责分配</w:t>
            </w:r>
          </w:p>
        </w:tc>
      </w:tr>
      <w:tr w:rsidR="00F80C18" w14:paraId="62DA4E27"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2CD37FB0"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个人信息处理第三方管理</w:t>
            </w:r>
          </w:p>
        </w:tc>
        <w:tc>
          <w:tcPr>
            <w:tcW w:w="5544" w:type="dxa"/>
            <w:shd w:val="clear" w:color="auto" w:fill="FFFFFF" w:themeFill="background1"/>
            <w:tcMar>
              <w:top w:w="0" w:type="dxa"/>
              <w:left w:w="105" w:type="dxa"/>
              <w:bottom w:w="0" w:type="dxa"/>
              <w:right w:w="105" w:type="dxa"/>
            </w:tcMar>
            <w:vAlign w:val="center"/>
          </w:tcPr>
          <w:p w14:paraId="48D65DD3"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企业与供应商和第三方合作中的合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要点与合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管理体系</w:t>
            </w:r>
          </w:p>
        </w:tc>
      </w:tr>
      <w:tr w:rsidR="00F80C18" w14:paraId="57D5E57A"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6BF51A96"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个人信息主体权利响应</w:t>
            </w:r>
          </w:p>
        </w:tc>
        <w:tc>
          <w:tcPr>
            <w:tcW w:w="5544" w:type="dxa"/>
            <w:shd w:val="clear" w:color="auto" w:fill="FFFFFF" w:themeFill="background1"/>
            <w:tcMar>
              <w:top w:w="0" w:type="dxa"/>
              <w:left w:w="105" w:type="dxa"/>
              <w:bottom w:w="0" w:type="dxa"/>
              <w:right w:w="105" w:type="dxa"/>
            </w:tcMar>
            <w:vAlign w:val="center"/>
          </w:tcPr>
          <w:p w14:paraId="3509E654"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个人信息处理者响应个人信息主体行权要求中的合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要点与流程管理</w:t>
            </w:r>
          </w:p>
        </w:tc>
      </w:tr>
      <w:tr w:rsidR="00F80C18" w14:paraId="5E1B480F"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43D165AB"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个人信息安全事件响应</w:t>
            </w:r>
          </w:p>
        </w:tc>
        <w:tc>
          <w:tcPr>
            <w:tcW w:w="5544" w:type="dxa"/>
            <w:shd w:val="clear" w:color="auto" w:fill="FFFFFF" w:themeFill="background1"/>
            <w:tcMar>
              <w:top w:w="0" w:type="dxa"/>
              <w:left w:w="105" w:type="dxa"/>
              <w:bottom w:w="0" w:type="dxa"/>
              <w:right w:w="105" w:type="dxa"/>
            </w:tcMar>
            <w:vAlign w:val="center"/>
          </w:tcPr>
          <w:p w14:paraId="53361D9F"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个人信息安全事件应急预案的制定，事前、事中与事后的合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要点与操作指引</w:t>
            </w:r>
          </w:p>
        </w:tc>
      </w:tr>
      <w:tr w:rsidR="00F80C18" w14:paraId="0027DD7B"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57A8457C"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未成年人</w:t>
            </w:r>
          </w:p>
          <w:p w14:paraId="6D7E7E4F"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w:t>
            </w:r>
          </w:p>
        </w:tc>
        <w:tc>
          <w:tcPr>
            <w:tcW w:w="5544" w:type="dxa"/>
            <w:shd w:val="clear" w:color="auto" w:fill="FFFFFF" w:themeFill="background1"/>
            <w:tcMar>
              <w:top w:w="0" w:type="dxa"/>
              <w:left w:w="105" w:type="dxa"/>
              <w:bottom w:w="0" w:type="dxa"/>
              <w:right w:w="105" w:type="dxa"/>
            </w:tcMar>
            <w:vAlign w:val="center"/>
          </w:tcPr>
          <w:p w14:paraId="28C09BDB"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分析讲解未成年人个人信息保护的特殊要求</w:t>
            </w:r>
          </w:p>
        </w:tc>
      </w:tr>
      <w:tr w:rsidR="00F80C18" w14:paraId="4395EFB1"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14685EA6"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APP个人信息保护合法合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要点</w:t>
            </w:r>
          </w:p>
        </w:tc>
        <w:tc>
          <w:tcPr>
            <w:tcW w:w="5544" w:type="dxa"/>
            <w:shd w:val="clear" w:color="auto" w:fill="FFFFFF" w:themeFill="background1"/>
            <w:tcMar>
              <w:top w:w="0" w:type="dxa"/>
              <w:left w:w="105" w:type="dxa"/>
              <w:bottom w:w="0" w:type="dxa"/>
              <w:right w:w="105" w:type="dxa"/>
            </w:tcMar>
            <w:vAlign w:val="center"/>
          </w:tcPr>
          <w:p w14:paraId="0303CB2B"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结合相关法规、政策、标准要求及监管动态，解析APP个人信息保护合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要点</w:t>
            </w:r>
          </w:p>
        </w:tc>
      </w:tr>
      <w:tr w:rsidR="00F80C18" w14:paraId="50BDE3BB"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6A1938BE"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个人信息出境合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要点</w:t>
            </w:r>
          </w:p>
        </w:tc>
        <w:tc>
          <w:tcPr>
            <w:tcW w:w="5544" w:type="dxa"/>
            <w:shd w:val="clear" w:color="auto" w:fill="FFFFFF" w:themeFill="background1"/>
            <w:tcMar>
              <w:top w:w="0" w:type="dxa"/>
              <w:left w:w="105" w:type="dxa"/>
              <w:bottom w:w="0" w:type="dxa"/>
              <w:right w:w="105" w:type="dxa"/>
            </w:tcMar>
            <w:vAlign w:val="center"/>
          </w:tcPr>
          <w:p w14:paraId="64A2B31A"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参照《数据出境安全评估办法》，解析个人信息出境合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要点</w:t>
            </w:r>
          </w:p>
        </w:tc>
      </w:tr>
      <w:tr w:rsidR="00F80C18" w14:paraId="171D42B7"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1FD65D5E"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隐私设计与安全设计</w:t>
            </w:r>
          </w:p>
        </w:tc>
        <w:tc>
          <w:tcPr>
            <w:tcW w:w="5544" w:type="dxa"/>
            <w:shd w:val="clear" w:color="auto" w:fill="FFFFFF" w:themeFill="background1"/>
            <w:tcMar>
              <w:top w:w="0" w:type="dxa"/>
              <w:left w:w="105" w:type="dxa"/>
              <w:bottom w:w="0" w:type="dxa"/>
              <w:right w:w="105" w:type="dxa"/>
            </w:tcMar>
            <w:vAlign w:val="center"/>
          </w:tcPr>
          <w:p w14:paraId="7DC8B038"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讲解隐私设计与安全设计理论、方法与实践</w:t>
            </w:r>
          </w:p>
        </w:tc>
      </w:tr>
      <w:tr w:rsidR="00F80C18" w14:paraId="50851BF7"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58952F62"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个人信息保护影响评估</w:t>
            </w:r>
          </w:p>
        </w:tc>
        <w:tc>
          <w:tcPr>
            <w:tcW w:w="5544" w:type="dxa"/>
            <w:shd w:val="clear" w:color="auto" w:fill="FFFFFF" w:themeFill="background1"/>
            <w:tcMar>
              <w:top w:w="0" w:type="dxa"/>
              <w:left w:w="105" w:type="dxa"/>
              <w:bottom w:w="0" w:type="dxa"/>
              <w:right w:w="105" w:type="dxa"/>
            </w:tcMar>
            <w:vAlign w:val="center"/>
          </w:tcPr>
          <w:p w14:paraId="6E47B8B0"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解析个人信息处理活动中对个人信息权益影响分析以及评估的策划与实施</w:t>
            </w:r>
          </w:p>
        </w:tc>
      </w:tr>
      <w:tr w:rsidR="00F80C18" w14:paraId="088011F5"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1D8EBF74"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个人信息保护技术基础</w:t>
            </w:r>
          </w:p>
        </w:tc>
        <w:tc>
          <w:tcPr>
            <w:tcW w:w="5544" w:type="dxa"/>
            <w:shd w:val="clear" w:color="auto" w:fill="FFFFFF" w:themeFill="background1"/>
            <w:tcMar>
              <w:top w:w="0" w:type="dxa"/>
              <w:left w:w="105" w:type="dxa"/>
              <w:bottom w:w="0" w:type="dxa"/>
              <w:right w:w="105" w:type="dxa"/>
            </w:tcMar>
            <w:vAlign w:val="center"/>
          </w:tcPr>
          <w:p w14:paraId="08538E20"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讲解个人信息保护相关技术、隐私增强技术、隐私计算相关基础知识</w:t>
            </w:r>
          </w:p>
        </w:tc>
      </w:tr>
      <w:tr w:rsidR="00F80C18" w14:paraId="2312CC98" w14:textId="77777777">
        <w:trPr>
          <w:trHeight w:val="23"/>
          <w:jc w:val="center"/>
        </w:trPr>
        <w:tc>
          <w:tcPr>
            <w:tcW w:w="4090" w:type="dxa"/>
            <w:shd w:val="clear" w:color="auto" w:fill="FFFFFF" w:themeFill="background1"/>
            <w:tcMar>
              <w:top w:w="0" w:type="dxa"/>
              <w:left w:w="105" w:type="dxa"/>
              <w:bottom w:w="0" w:type="dxa"/>
              <w:right w:w="105" w:type="dxa"/>
            </w:tcMar>
            <w:vAlign w:val="center"/>
          </w:tcPr>
          <w:p w14:paraId="343D9D8D" w14:textId="77777777" w:rsidR="00F80C18" w:rsidRDefault="00000000">
            <w:pPr>
              <w:widowControl/>
              <w:shd w:val="clear" w:color="auto" w:fill="FFFFFF" w:themeFill="background1"/>
              <w:jc w:val="center"/>
              <w:rPr>
                <w:rFonts w:ascii="仿宋" w:eastAsia="仿宋" w:hAnsi="仿宋" w:cs="仿宋" w:hint="eastAsia"/>
                <w:color w:val="000000"/>
                <w:spacing w:val="8"/>
                <w:kern w:val="0"/>
                <w:sz w:val="24"/>
              </w:rPr>
            </w:pPr>
            <w:proofErr w:type="gramStart"/>
            <w:r>
              <w:rPr>
                <w:rFonts w:ascii="仿宋" w:eastAsia="仿宋" w:hAnsi="仿宋" w:cs="仿宋" w:hint="eastAsia"/>
                <w:color w:val="000000"/>
                <w:spacing w:val="8"/>
                <w:kern w:val="0"/>
                <w:sz w:val="24"/>
              </w:rPr>
              <w:t>个</w:t>
            </w:r>
            <w:proofErr w:type="gramEnd"/>
            <w:r>
              <w:rPr>
                <w:rFonts w:ascii="仿宋" w:eastAsia="仿宋" w:hAnsi="仿宋" w:cs="仿宋" w:hint="eastAsia"/>
                <w:color w:val="000000"/>
                <w:spacing w:val="8"/>
                <w:kern w:val="0"/>
                <w:sz w:val="24"/>
              </w:rPr>
              <w:t>保法与数字法技术合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要点分析</w:t>
            </w:r>
          </w:p>
        </w:tc>
        <w:tc>
          <w:tcPr>
            <w:tcW w:w="5544" w:type="dxa"/>
            <w:shd w:val="clear" w:color="auto" w:fill="FFFFFF" w:themeFill="background1"/>
            <w:tcMar>
              <w:top w:w="0" w:type="dxa"/>
              <w:left w:w="105" w:type="dxa"/>
              <w:bottom w:w="0" w:type="dxa"/>
              <w:right w:w="105" w:type="dxa"/>
            </w:tcMar>
            <w:vAlign w:val="center"/>
          </w:tcPr>
          <w:p w14:paraId="3AD1F0E1" w14:textId="77777777" w:rsidR="00F80C18" w:rsidRDefault="00000000">
            <w:pPr>
              <w:widowControl/>
              <w:shd w:val="clear" w:color="auto" w:fill="FFFFFF" w:themeFill="background1"/>
              <w:jc w:val="left"/>
              <w:rPr>
                <w:rFonts w:ascii="仿宋" w:eastAsia="仿宋" w:hAnsi="仿宋" w:cs="仿宋" w:hint="eastAsia"/>
                <w:color w:val="000000"/>
                <w:spacing w:val="8"/>
                <w:kern w:val="0"/>
                <w:sz w:val="24"/>
              </w:rPr>
            </w:pPr>
            <w:r>
              <w:rPr>
                <w:rFonts w:ascii="仿宋" w:eastAsia="仿宋" w:hAnsi="仿宋" w:cs="仿宋" w:hint="eastAsia"/>
                <w:color w:val="000000"/>
                <w:spacing w:val="8"/>
                <w:kern w:val="0"/>
                <w:sz w:val="24"/>
              </w:rPr>
              <w:t>讲解《个人信息保护法》《数据安全法》等法规落地技术合</w:t>
            </w:r>
            <w:proofErr w:type="gramStart"/>
            <w:r>
              <w:rPr>
                <w:rFonts w:ascii="仿宋" w:eastAsia="仿宋" w:hAnsi="仿宋" w:cs="仿宋" w:hint="eastAsia"/>
                <w:color w:val="000000"/>
                <w:spacing w:val="8"/>
                <w:kern w:val="0"/>
                <w:sz w:val="24"/>
              </w:rPr>
              <w:t>规</w:t>
            </w:r>
            <w:proofErr w:type="gramEnd"/>
            <w:r>
              <w:rPr>
                <w:rFonts w:ascii="仿宋" w:eastAsia="仿宋" w:hAnsi="仿宋" w:cs="仿宋" w:hint="eastAsia"/>
                <w:color w:val="000000"/>
                <w:spacing w:val="8"/>
                <w:kern w:val="0"/>
                <w:sz w:val="24"/>
              </w:rPr>
              <w:t>要点</w:t>
            </w:r>
          </w:p>
        </w:tc>
      </w:tr>
    </w:tbl>
    <w:p w14:paraId="233FA96E" w14:textId="77777777" w:rsidR="00F80C18" w:rsidRDefault="00F80C18">
      <w:pPr>
        <w:widowControl/>
        <w:shd w:val="clear" w:color="auto" w:fill="FFFFFF" w:themeFill="background1"/>
        <w:jc w:val="center"/>
        <w:rPr>
          <w:rFonts w:ascii="宋体" w:hAnsi="宋体" w:cs="宋体" w:hint="eastAsia"/>
          <w:b/>
          <w:bCs/>
          <w:color w:val="000000"/>
          <w:spacing w:val="8"/>
          <w:kern w:val="0"/>
          <w:sz w:val="36"/>
          <w:szCs w:val="36"/>
        </w:rPr>
      </w:pPr>
    </w:p>
    <w:p w14:paraId="5C539C01" w14:textId="77777777" w:rsidR="00F80C18" w:rsidRDefault="00F80C18">
      <w:pPr>
        <w:widowControl/>
        <w:shd w:val="clear" w:color="auto" w:fill="FFFFFF" w:themeFill="background1"/>
        <w:jc w:val="center"/>
        <w:rPr>
          <w:rFonts w:ascii="宋体" w:hAnsi="宋体" w:cs="宋体" w:hint="eastAsia"/>
          <w:b/>
          <w:bCs/>
          <w:color w:val="000000"/>
          <w:spacing w:val="8"/>
          <w:kern w:val="0"/>
          <w:sz w:val="36"/>
          <w:szCs w:val="36"/>
        </w:rPr>
      </w:pPr>
    </w:p>
    <w:p w14:paraId="0E94B14D" w14:textId="77777777" w:rsidR="00F80C18" w:rsidRDefault="00000000">
      <w:pPr>
        <w:widowControl/>
        <w:shd w:val="clear" w:color="auto" w:fill="FFFFFF" w:themeFill="background1"/>
        <w:jc w:val="center"/>
        <w:rPr>
          <w:rFonts w:ascii="宋体" w:hAnsi="宋体" w:cs="宋体" w:hint="eastAsia"/>
          <w:b/>
          <w:bCs/>
          <w:color w:val="000000"/>
          <w:spacing w:val="8"/>
          <w:kern w:val="0"/>
          <w:sz w:val="36"/>
          <w:szCs w:val="36"/>
        </w:rPr>
      </w:pPr>
      <w:r>
        <w:rPr>
          <w:rFonts w:ascii="宋体" w:hAnsi="宋体" w:cs="宋体" w:hint="eastAsia"/>
          <w:b/>
          <w:bCs/>
          <w:color w:val="000000"/>
          <w:spacing w:val="8"/>
          <w:kern w:val="0"/>
          <w:sz w:val="36"/>
          <w:szCs w:val="36"/>
        </w:rPr>
        <w:lastRenderedPageBreak/>
        <w:t>CCRC-PIPCA课程大纲</w:t>
      </w:r>
    </w:p>
    <w:p w14:paraId="79628FC4" w14:textId="77777777" w:rsidR="00F80C18" w:rsidRDefault="00F80C18">
      <w:pPr>
        <w:widowControl/>
        <w:shd w:val="clear" w:color="auto" w:fill="FFFFFF" w:themeFill="background1"/>
        <w:spacing w:line="360" w:lineRule="exact"/>
        <w:jc w:val="center"/>
        <w:rPr>
          <w:rFonts w:asciiTheme="majorEastAsia" w:eastAsiaTheme="majorEastAsia" w:hAnsiTheme="majorEastAsia" w:cs="宋体" w:hint="eastAsia"/>
          <w:b/>
          <w:bCs/>
          <w:color w:val="000000"/>
          <w:spacing w:val="8"/>
          <w:kern w:val="0"/>
          <w:sz w:val="32"/>
          <w:szCs w:val="32"/>
        </w:rPr>
      </w:pPr>
    </w:p>
    <w:tbl>
      <w:tblPr>
        <w:tblStyle w:val="aa"/>
        <w:tblW w:w="9776" w:type="dxa"/>
        <w:jc w:val="center"/>
        <w:tblLook w:val="04A0" w:firstRow="1" w:lastRow="0" w:firstColumn="1" w:lastColumn="0" w:noHBand="0" w:noVBand="1"/>
      </w:tblPr>
      <w:tblGrid>
        <w:gridCol w:w="4326"/>
        <w:gridCol w:w="5450"/>
      </w:tblGrid>
      <w:tr w:rsidR="00F80C18" w14:paraId="1C39E61E" w14:textId="77777777">
        <w:trPr>
          <w:trHeight w:val="23"/>
          <w:jc w:val="center"/>
        </w:trPr>
        <w:tc>
          <w:tcPr>
            <w:tcW w:w="4326" w:type="dxa"/>
            <w:vAlign w:val="center"/>
          </w:tcPr>
          <w:p w14:paraId="55324644" w14:textId="77777777" w:rsidR="00F80C18" w:rsidRDefault="00000000">
            <w:pPr>
              <w:jc w:val="center"/>
              <w:rPr>
                <w:rFonts w:ascii="黑体" w:eastAsia="黑体" w:hAnsi="黑体" w:cs="黑体" w:hint="eastAsia"/>
                <w:b/>
                <w:bCs/>
                <w:kern w:val="0"/>
                <w:sz w:val="24"/>
              </w:rPr>
            </w:pPr>
            <w:r>
              <w:rPr>
                <w:rFonts w:ascii="黑体" w:eastAsia="黑体" w:hAnsi="黑体" w:cs="黑体" w:hint="eastAsia"/>
                <w:color w:val="000000"/>
                <w:spacing w:val="8"/>
                <w:kern w:val="0"/>
                <w:sz w:val="24"/>
              </w:rPr>
              <w:t>课程模块</w:t>
            </w:r>
          </w:p>
        </w:tc>
        <w:tc>
          <w:tcPr>
            <w:tcW w:w="5450" w:type="dxa"/>
            <w:vAlign w:val="center"/>
          </w:tcPr>
          <w:p w14:paraId="04BE867C" w14:textId="77777777" w:rsidR="00F80C18" w:rsidRDefault="00000000">
            <w:pPr>
              <w:jc w:val="center"/>
              <w:rPr>
                <w:rFonts w:ascii="黑体" w:eastAsia="黑体" w:hAnsi="黑体" w:cs="黑体" w:hint="eastAsia"/>
                <w:b/>
                <w:bCs/>
                <w:kern w:val="0"/>
                <w:sz w:val="24"/>
              </w:rPr>
            </w:pPr>
            <w:r>
              <w:rPr>
                <w:rFonts w:ascii="黑体" w:eastAsia="黑体" w:hAnsi="黑体" w:cs="黑体" w:hint="eastAsia"/>
                <w:color w:val="000000"/>
                <w:spacing w:val="8"/>
                <w:kern w:val="0"/>
                <w:sz w:val="24"/>
              </w:rPr>
              <w:t>课程内容简介</w:t>
            </w:r>
          </w:p>
        </w:tc>
      </w:tr>
      <w:tr w:rsidR="00F80C18" w14:paraId="52111FF6" w14:textId="77777777">
        <w:trPr>
          <w:trHeight w:val="23"/>
          <w:jc w:val="center"/>
        </w:trPr>
        <w:tc>
          <w:tcPr>
            <w:tcW w:w="4326" w:type="dxa"/>
            <w:vAlign w:val="center"/>
          </w:tcPr>
          <w:p w14:paraId="743DC0AC"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审计师认证课程导论</w:t>
            </w:r>
          </w:p>
        </w:tc>
        <w:tc>
          <w:tcPr>
            <w:tcW w:w="5450" w:type="dxa"/>
          </w:tcPr>
          <w:p w14:paraId="00157409"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讲解CCRC-PIPCA认证体系、培训体系，个人信息保护合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审计的背景、目的、范围、总体要求以及课程模块介绍。</w:t>
            </w:r>
          </w:p>
        </w:tc>
      </w:tr>
      <w:tr w:rsidR="00F80C18" w14:paraId="1F4A6273" w14:textId="77777777">
        <w:trPr>
          <w:trHeight w:val="23"/>
          <w:jc w:val="center"/>
        </w:trPr>
        <w:tc>
          <w:tcPr>
            <w:tcW w:w="4326" w:type="dxa"/>
            <w:vAlign w:val="center"/>
          </w:tcPr>
          <w:p w14:paraId="7603FE07"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审计框架</w:t>
            </w:r>
          </w:p>
        </w:tc>
        <w:tc>
          <w:tcPr>
            <w:tcW w:w="5450" w:type="dxa"/>
          </w:tcPr>
          <w:p w14:paraId="12353BF8"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结合《个人信息保护合规审计管理办法》《数据安全技术  个人信息合规审计要求（送审稿）》，讲解个人信息保护合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审计背景、审计依据与要点、审计流程与方法等。</w:t>
            </w:r>
          </w:p>
        </w:tc>
      </w:tr>
      <w:tr w:rsidR="00F80C18" w14:paraId="35D445A9" w14:textId="77777777">
        <w:trPr>
          <w:trHeight w:val="23"/>
          <w:jc w:val="center"/>
        </w:trPr>
        <w:tc>
          <w:tcPr>
            <w:tcW w:w="4326" w:type="dxa"/>
            <w:vAlign w:val="center"/>
          </w:tcPr>
          <w:p w14:paraId="03AFA8F4"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审计准则</w:t>
            </w:r>
          </w:p>
        </w:tc>
        <w:tc>
          <w:tcPr>
            <w:tcW w:w="5450" w:type="dxa"/>
          </w:tcPr>
          <w:p w14:paraId="04F13D96"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讲解个人信息保护合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审计人员职业道德规范、审计人员与审计机构要求、审计标准、审计准则。</w:t>
            </w:r>
          </w:p>
        </w:tc>
      </w:tr>
      <w:tr w:rsidR="00F80C18" w14:paraId="1BD04F9B" w14:textId="77777777">
        <w:trPr>
          <w:trHeight w:val="23"/>
          <w:jc w:val="center"/>
        </w:trPr>
        <w:tc>
          <w:tcPr>
            <w:tcW w:w="4326" w:type="dxa"/>
            <w:vAlign w:val="center"/>
          </w:tcPr>
          <w:p w14:paraId="2B8137A4"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审计策划与实施</w:t>
            </w:r>
          </w:p>
        </w:tc>
        <w:tc>
          <w:tcPr>
            <w:tcW w:w="5450" w:type="dxa"/>
          </w:tcPr>
          <w:p w14:paraId="174060DA"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结合《个人信息保护合规审计管理办法》《数据安全技术  个人信息合规审计要求（送审稿）》，讲解个人信息合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审计项目的策划实施过程与审计报告。</w:t>
            </w:r>
          </w:p>
        </w:tc>
      </w:tr>
      <w:tr w:rsidR="00F80C18" w14:paraId="3357A2C9" w14:textId="77777777">
        <w:trPr>
          <w:trHeight w:val="23"/>
          <w:jc w:val="center"/>
        </w:trPr>
        <w:tc>
          <w:tcPr>
            <w:tcW w:w="4326" w:type="dxa"/>
            <w:vAlign w:val="center"/>
          </w:tcPr>
          <w:p w14:paraId="218AC0EE"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审计底稿与审计报告</w:t>
            </w:r>
          </w:p>
        </w:tc>
        <w:tc>
          <w:tcPr>
            <w:tcW w:w="5450" w:type="dxa"/>
          </w:tcPr>
          <w:p w14:paraId="63183935"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结合《数据安全技术  个人信息合规审计要求（送审稿）》讲解审计底稿的编制和审计报告的撰写。</w:t>
            </w:r>
          </w:p>
        </w:tc>
      </w:tr>
      <w:tr w:rsidR="00F80C18" w14:paraId="5DC289F3" w14:textId="77777777">
        <w:trPr>
          <w:trHeight w:val="23"/>
          <w:jc w:val="center"/>
        </w:trPr>
        <w:tc>
          <w:tcPr>
            <w:tcW w:w="4326" w:type="dxa"/>
            <w:vAlign w:val="center"/>
          </w:tcPr>
          <w:p w14:paraId="440CCE83"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个人信息处理的合法性基础与告知同意及合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c>
          <w:tcPr>
            <w:tcW w:w="5450" w:type="dxa"/>
          </w:tcPr>
          <w:p w14:paraId="3A5B5B18"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结合《数据安全技术  个人信息合规审计要求（送审稿）》，讲解合法性基础与告知同意的合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审计方法与案例。</w:t>
            </w:r>
          </w:p>
        </w:tc>
      </w:tr>
      <w:tr w:rsidR="00F80C18" w14:paraId="0E71921B" w14:textId="77777777">
        <w:trPr>
          <w:trHeight w:val="23"/>
          <w:jc w:val="center"/>
        </w:trPr>
        <w:tc>
          <w:tcPr>
            <w:tcW w:w="4326" w:type="dxa"/>
            <w:vAlign w:val="center"/>
          </w:tcPr>
          <w:p w14:paraId="0B330E24"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第三方管理的个人信息处理合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c>
          <w:tcPr>
            <w:tcW w:w="5450" w:type="dxa"/>
          </w:tcPr>
          <w:p w14:paraId="40B22CE8"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结合《数据安全技术  个人信息合规审计要求（送审稿）》，讲解个人信息处理第三方合作合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要求以及审计验证。</w:t>
            </w:r>
          </w:p>
        </w:tc>
      </w:tr>
      <w:tr w:rsidR="00F80C18" w14:paraId="7974F082" w14:textId="77777777">
        <w:trPr>
          <w:trHeight w:val="23"/>
          <w:jc w:val="center"/>
        </w:trPr>
        <w:tc>
          <w:tcPr>
            <w:tcW w:w="4326" w:type="dxa"/>
            <w:vAlign w:val="center"/>
          </w:tcPr>
          <w:p w14:paraId="35FED6C6"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个人信息处理特殊情形的合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c>
          <w:tcPr>
            <w:tcW w:w="5450" w:type="dxa"/>
          </w:tcPr>
          <w:p w14:paraId="0C822FEB"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根据《个人信息保护合规审计管理办法》审计要点逐条讲解个人信息处理的几类特殊对象与特殊主体，以及对应合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审计要点与验证的方式。</w:t>
            </w:r>
          </w:p>
        </w:tc>
      </w:tr>
      <w:tr w:rsidR="00F80C18" w14:paraId="3692F4BF" w14:textId="77777777">
        <w:trPr>
          <w:trHeight w:val="23"/>
          <w:jc w:val="center"/>
        </w:trPr>
        <w:tc>
          <w:tcPr>
            <w:tcW w:w="4326" w:type="dxa"/>
            <w:vAlign w:val="center"/>
          </w:tcPr>
          <w:p w14:paraId="163B9687"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个人信息权利保障的合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c>
          <w:tcPr>
            <w:tcW w:w="5450" w:type="dxa"/>
          </w:tcPr>
          <w:p w14:paraId="070A70B8"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结合《个人信息保护法》《个人信息保护合规审计管理办法》《数据安全技术  个人信息合规审计要求（送审稿）》，讲解个人信息权利保障及合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r>
      <w:tr w:rsidR="00F80C18" w14:paraId="4FCF86F1" w14:textId="77777777">
        <w:trPr>
          <w:trHeight w:val="23"/>
          <w:jc w:val="center"/>
        </w:trPr>
        <w:tc>
          <w:tcPr>
            <w:tcW w:w="4326" w:type="dxa"/>
            <w:vAlign w:val="center"/>
          </w:tcPr>
          <w:p w14:paraId="3EC41C2D"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大型互联网平台特殊要求的合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c>
          <w:tcPr>
            <w:tcW w:w="5450" w:type="dxa"/>
          </w:tcPr>
          <w:p w14:paraId="0479CD8F"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结合《数据安全技术  个人信息合规审计要求（送审稿）》，讲解大型互联网平台特殊要求的合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r>
      <w:tr w:rsidR="00F80C18" w14:paraId="2035F303" w14:textId="77777777">
        <w:trPr>
          <w:trHeight w:val="23"/>
          <w:jc w:val="center"/>
        </w:trPr>
        <w:tc>
          <w:tcPr>
            <w:tcW w:w="4326" w:type="dxa"/>
            <w:vAlign w:val="center"/>
          </w:tcPr>
          <w:p w14:paraId="6778BAE4"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管理体系及合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c>
          <w:tcPr>
            <w:tcW w:w="5450" w:type="dxa"/>
          </w:tcPr>
          <w:p w14:paraId="1DA6B9E3"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结合《数据安全技术  个人信息合规审计要求（送审稿）》，讲解个人信息保护合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管理体系的组成及合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r>
      <w:tr w:rsidR="00F80C18" w14:paraId="3A1F84BB" w14:textId="77777777">
        <w:trPr>
          <w:trHeight w:val="23"/>
          <w:jc w:val="center"/>
        </w:trPr>
        <w:tc>
          <w:tcPr>
            <w:tcW w:w="4326" w:type="dxa"/>
            <w:vAlign w:val="center"/>
          </w:tcPr>
          <w:p w14:paraId="50B880BF"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审计项目案例模拟</w:t>
            </w:r>
          </w:p>
        </w:tc>
        <w:tc>
          <w:tcPr>
            <w:tcW w:w="5450" w:type="dxa"/>
          </w:tcPr>
          <w:p w14:paraId="5130043D"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个人信息保护合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审计项目案例模拟与实践</w:t>
            </w:r>
          </w:p>
        </w:tc>
      </w:tr>
      <w:tr w:rsidR="00F80C18" w14:paraId="3860C84B" w14:textId="77777777">
        <w:trPr>
          <w:trHeight w:val="23"/>
          <w:jc w:val="center"/>
        </w:trPr>
        <w:tc>
          <w:tcPr>
            <w:tcW w:w="4326" w:type="dxa"/>
            <w:vAlign w:val="center"/>
          </w:tcPr>
          <w:p w14:paraId="6633DB57"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个人信息保护安全技术措施的合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c>
          <w:tcPr>
            <w:tcW w:w="5450" w:type="dxa"/>
          </w:tcPr>
          <w:p w14:paraId="6E727789"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结合《数据安全技术  个人信息合规审计要求（送审稿）》，讲解信息安全基础知识、原理，常见个人信息保护措施、自动化决策以及个人信息去标识化和匿名化的原理与审计。</w:t>
            </w:r>
          </w:p>
        </w:tc>
      </w:tr>
      <w:tr w:rsidR="00F80C18" w14:paraId="2E55A4CB" w14:textId="77777777">
        <w:trPr>
          <w:trHeight w:val="23"/>
          <w:jc w:val="center"/>
        </w:trPr>
        <w:tc>
          <w:tcPr>
            <w:tcW w:w="4326" w:type="dxa"/>
            <w:vAlign w:val="center"/>
          </w:tcPr>
          <w:p w14:paraId="73F0B318"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个人信息安全事件应急预案与应急处置的合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c>
          <w:tcPr>
            <w:tcW w:w="5450" w:type="dxa"/>
          </w:tcPr>
          <w:p w14:paraId="7413955A"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结合《数据安全技术  个人信息合规审计要求（送审稿）》，讲解个人信息安全事件管理合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审计及审计验证。</w:t>
            </w:r>
          </w:p>
        </w:tc>
      </w:tr>
      <w:tr w:rsidR="00F80C18" w14:paraId="2B7A3DA4" w14:textId="77777777">
        <w:trPr>
          <w:trHeight w:val="23"/>
          <w:jc w:val="center"/>
        </w:trPr>
        <w:tc>
          <w:tcPr>
            <w:tcW w:w="4326" w:type="dxa"/>
            <w:vAlign w:val="center"/>
          </w:tcPr>
          <w:p w14:paraId="269FC668"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个人信息保护常见技术场景的合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审计</w:t>
            </w:r>
          </w:p>
        </w:tc>
        <w:tc>
          <w:tcPr>
            <w:tcW w:w="5450" w:type="dxa"/>
          </w:tcPr>
          <w:p w14:paraId="5A8B4245" w14:textId="77777777" w:rsidR="00F80C18" w:rsidRDefault="00000000">
            <w:pPr>
              <w:spacing w:line="260" w:lineRule="exact"/>
              <w:rPr>
                <w:rFonts w:ascii="仿宋" w:eastAsia="仿宋" w:hAnsi="仿宋" w:cs="仿宋" w:hint="eastAsia"/>
                <w:kern w:val="0"/>
                <w:sz w:val="24"/>
              </w:rPr>
            </w:pPr>
            <w:r>
              <w:rPr>
                <w:rFonts w:ascii="仿宋" w:eastAsia="仿宋" w:hAnsi="仿宋" w:cs="仿宋" w:hint="eastAsia"/>
                <w:kern w:val="0"/>
                <w:sz w:val="24"/>
              </w:rPr>
              <w:t>结合个人信息保护相关合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要求，对组织个人信息处理活动中涉及的技术保护措施的合</w:t>
            </w:r>
            <w:proofErr w:type="gramStart"/>
            <w:r>
              <w:rPr>
                <w:rFonts w:ascii="仿宋" w:eastAsia="仿宋" w:hAnsi="仿宋" w:cs="仿宋" w:hint="eastAsia"/>
                <w:kern w:val="0"/>
                <w:sz w:val="24"/>
              </w:rPr>
              <w:t>规</w:t>
            </w:r>
            <w:proofErr w:type="gramEnd"/>
            <w:r>
              <w:rPr>
                <w:rFonts w:ascii="仿宋" w:eastAsia="仿宋" w:hAnsi="仿宋" w:cs="仿宋" w:hint="eastAsia"/>
                <w:kern w:val="0"/>
                <w:sz w:val="24"/>
              </w:rPr>
              <w:t>性、有效性、充分性进行审计和验证。</w:t>
            </w:r>
          </w:p>
        </w:tc>
      </w:tr>
    </w:tbl>
    <w:p w14:paraId="0B9B77A0" w14:textId="77777777" w:rsidR="00F80C18" w:rsidRDefault="00F80C18">
      <w:pPr>
        <w:widowControl/>
        <w:shd w:val="clear" w:color="auto" w:fill="FFFFFF" w:themeFill="background1"/>
        <w:jc w:val="center"/>
        <w:rPr>
          <w:rFonts w:ascii="宋体" w:hAnsi="宋体" w:cs="宋体" w:hint="eastAsia"/>
          <w:b/>
          <w:bCs/>
          <w:color w:val="000000"/>
          <w:spacing w:val="8"/>
          <w:kern w:val="0"/>
          <w:sz w:val="36"/>
          <w:szCs w:val="36"/>
        </w:rPr>
      </w:pPr>
    </w:p>
    <w:p w14:paraId="6648EDB2" w14:textId="77777777" w:rsidR="00F80C18" w:rsidRDefault="00F80C18">
      <w:pPr>
        <w:widowControl/>
        <w:shd w:val="clear" w:color="auto" w:fill="FFFFFF" w:themeFill="background1"/>
        <w:jc w:val="center"/>
        <w:rPr>
          <w:rFonts w:ascii="宋体" w:hAnsi="宋体" w:cs="宋体" w:hint="eastAsia"/>
          <w:b/>
          <w:bCs/>
          <w:color w:val="000000"/>
          <w:spacing w:val="8"/>
          <w:kern w:val="0"/>
          <w:sz w:val="36"/>
          <w:szCs w:val="36"/>
        </w:rPr>
      </w:pPr>
    </w:p>
    <w:p w14:paraId="16D3A4D3" w14:textId="77777777" w:rsidR="00F80C18" w:rsidRDefault="00000000">
      <w:pPr>
        <w:widowControl/>
        <w:shd w:val="clear" w:color="auto" w:fill="FFFFFF" w:themeFill="background1"/>
        <w:jc w:val="center"/>
        <w:rPr>
          <w:rFonts w:ascii="宋体" w:hAnsi="宋体" w:cs="宋体" w:hint="eastAsia"/>
          <w:b/>
          <w:bCs/>
          <w:color w:val="000000"/>
          <w:spacing w:val="8"/>
          <w:kern w:val="0"/>
          <w:sz w:val="36"/>
          <w:szCs w:val="36"/>
        </w:rPr>
      </w:pPr>
      <w:r>
        <w:rPr>
          <w:rFonts w:ascii="宋体" w:hAnsi="宋体" w:cs="宋体" w:hint="eastAsia"/>
          <w:b/>
          <w:bCs/>
          <w:color w:val="000000"/>
          <w:spacing w:val="8"/>
          <w:kern w:val="0"/>
          <w:sz w:val="36"/>
          <w:szCs w:val="36"/>
        </w:rPr>
        <w:t>CCRC-PIPA课程大纲</w:t>
      </w:r>
    </w:p>
    <w:p w14:paraId="5067005A" w14:textId="77777777" w:rsidR="00F80C18" w:rsidRDefault="00F80C18">
      <w:pPr>
        <w:widowControl/>
        <w:shd w:val="clear" w:color="auto" w:fill="FFFFFF" w:themeFill="background1"/>
        <w:spacing w:line="540" w:lineRule="exact"/>
        <w:jc w:val="center"/>
        <w:rPr>
          <w:rFonts w:asciiTheme="majorEastAsia" w:eastAsiaTheme="majorEastAsia" w:hAnsiTheme="majorEastAsia" w:cs="宋体" w:hint="eastAsia"/>
          <w:b/>
          <w:bCs/>
          <w:color w:val="000000"/>
          <w:spacing w:val="8"/>
          <w:kern w:val="0"/>
          <w:sz w:val="32"/>
          <w:szCs w:val="32"/>
        </w:rPr>
      </w:pPr>
    </w:p>
    <w:tbl>
      <w:tblPr>
        <w:tblStyle w:val="aa"/>
        <w:tblW w:w="9776" w:type="dxa"/>
        <w:jc w:val="center"/>
        <w:tblLook w:val="04A0" w:firstRow="1" w:lastRow="0" w:firstColumn="1" w:lastColumn="0" w:noHBand="0" w:noVBand="1"/>
      </w:tblPr>
      <w:tblGrid>
        <w:gridCol w:w="3699"/>
        <w:gridCol w:w="6077"/>
      </w:tblGrid>
      <w:tr w:rsidR="00F80C18" w14:paraId="07822937" w14:textId="77777777">
        <w:trPr>
          <w:trHeight w:val="23"/>
          <w:jc w:val="center"/>
        </w:trPr>
        <w:tc>
          <w:tcPr>
            <w:tcW w:w="3699" w:type="dxa"/>
            <w:vAlign w:val="center"/>
          </w:tcPr>
          <w:p w14:paraId="1A856466" w14:textId="77777777" w:rsidR="00F80C18" w:rsidRDefault="00000000">
            <w:pPr>
              <w:jc w:val="center"/>
              <w:rPr>
                <w:rFonts w:ascii="黑体" w:eastAsia="黑体" w:hAnsi="黑体" w:cs="黑体" w:hint="eastAsia"/>
                <w:b/>
                <w:bCs/>
                <w:kern w:val="0"/>
                <w:sz w:val="24"/>
              </w:rPr>
            </w:pPr>
            <w:r>
              <w:rPr>
                <w:rFonts w:ascii="黑体" w:eastAsia="黑体" w:hAnsi="黑体" w:cs="黑体" w:hint="eastAsia"/>
                <w:color w:val="000000"/>
                <w:spacing w:val="8"/>
                <w:kern w:val="0"/>
                <w:sz w:val="24"/>
              </w:rPr>
              <w:t>课程模块</w:t>
            </w:r>
          </w:p>
        </w:tc>
        <w:tc>
          <w:tcPr>
            <w:tcW w:w="6077" w:type="dxa"/>
            <w:vAlign w:val="center"/>
          </w:tcPr>
          <w:p w14:paraId="0A695F85" w14:textId="77777777" w:rsidR="00F80C18" w:rsidRDefault="00000000">
            <w:pPr>
              <w:jc w:val="center"/>
              <w:rPr>
                <w:rFonts w:ascii="黑体" w:eastAsia="黑体" w:hAnsi="黑体" w:cs="黑体" w:hint="eastAsia"/>
                <w:b/>
                <w:bCs/>
                <w:kern w:val="0"/>
                <w:sz w:val="24"/>
              </w:rPr>
            </w:pPr>
            <w:r>
              <w:rPr>
                <w:rFonts w:ascii="黑体" w:eastAsia="黑体" w:hAnsi="黑体" w:cs="黑体" w:hint="eastAsia"/>
                <w:color w:val="000000"/>
                <w:spacing w:val="8"/>
                <w:kern w:val="0"/>
                <w:sz w:val="24"/>
              </w:rPr>
              <w:t>课程内容简介</w:t>
            </w:r>
          </w:p>
        </w:tc>
      </w:tr>
      <w:tr w:rsidR="00F80C18" w14:paraId="425E0787" w14:textId="77777777">
        <w:trPr>
          <w:trHeight w:val="23"/>
          <w:jc w:val="center"/>
        </w:trPr>
        <w:tc>
          <w:tcPr>
            <w:tcW w:w="3699" w:type="dxa"/>
            <w:vAlign w:val="center"/>
          </w:tcPr>
          <w:p w14:paraId="2773E9CA"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PIA法律基础与标准规范</w:t>
            </w:r>
          </w:p>
        </w:tc>
        <w:tc>
          <w:tcPr>
            <w:tcW w:w="6077" w:type="dxa"/>
            <w:vAlign w:val="center"/>
          </w:tcPr>
          <w:p w14:paraId="24DCB6D0"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CCRC-PIPA认证体系与培训目标介绍</w:t>
            </w:r>
          </w:p>
        </w:tc>
      </w:tr>
      <w:tr w:rsidR="00F80C18" w14:paraId="64ACD92E" w14:textId="77777777">
        <w:trPr>
          <w:trHeight w:val="23"/>
          <w:jc w:val="center"/>
        </w:trPr>
        <w:tc>
          <w:tcPr>
            <w:tcW w:w="3699" w:type="dxa"/>
            <w:vMerge w:val="restart"/>
            <w:vAlign w:val="center"/>
          </w:tcPr>
          <w:p w14:paraId="2C53A833"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PIA框架与报告撰写规范</w:t>
            </w:r>
          </w:p>
        </w:tc>
        <w:tc>
          <w:tcPr>
            <w:tcW w:w="6077" w:type="dxa"/>
            <w:vAlign w:val="center"/>
          </w:tcPr>
          <w:p w14:paraId="2068846C"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PIA法律基础及相关法规、标准解析</w:t>
            </w:r>
          </w:p>
        </w:tc>
      </w:tr>
      <w:tr w:rsidR="00F80C18" w14:paraId="4223F3D9" w14:textId="77777777">
        <w:trPr>
          <w:trHeight w:val="23"/>
          <w:jc w:val="center"/>
        </w:trPr>
        <w:tc>
          <w:tcPr>
            <w:tcW w:w="3699" w:type="dxa"/>
            <w:vMerge/>
            <w:vAlign w:val="center"/>
          </w:tcPr>
          <w:p w14:paraId="5614B185" w14:textId="77777777" w:rsidR="00F80C18" w:rsidRDefault="00F80C18">
            <w:pPr>
              <w:jc w:val="center"/>
              <w:rPr>
                <w:rFonts w:ascii="仿宋" w:eastAsia="仿宋" w:hAnsi="仿宋" w:cs="仿宋" w:hint="eastAsia"/>
                <w:kern w:val="0"/>
                <w:sz w:val="24"/>
              </w:rPr>
            </w:pPr>
          </w:p>
        </w:tc>
        <w:tc>
          <w:tcPr>
            <w:tcW w:w="6077" w:type="dxa"/>
            <w:vAlign w:val="center"/>
          </w:tcPr>
          <w:p w14:paraId="72EB2629"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PIA框架与工作流程（基于GB/T39335-2020标准）</w:t>
            </w:r>
          </w:p>
        </w:tc>
      </w:tr>
      <w:tr w:rsidR="00F80C18" w14:paraId="4FA90F02" w14:textId="77777777">
        <w:trPr>
          <w:trHeight w:val="23"/>
          <w:jc w:val="center"/>
        </w:trPr>
        <w:tc>
          <w:tcPr>
            <w:tcW w:w="3699" w:type="dxa"/>
            <w:vMerge/>
            <w:vAlign w:val="center"/>
          </w:tcPr>
          <w:p w14:paraId="784E9688" w14:textId="77777777" w:rsidR="00F80C18" w:rsidRDefault="00F80C18">
            <w:pPr>
              <w:jc w:val="center"/>
              <w:rPr>
                <w:rFonts w:ascii="仿宋" w:eastAsia="仿宋" w:hAnsi="仿宋" w:cs="仿宋" w:hint="eastAsia"/>
                <w:kern w:val="0"/>
                <w:sz w:val="24"/>
              </w:rPr>
            </w:pPr>
          </w:p>
        </w:tc>
        <w:tc>
          <w:tcPr>
            <w:tcW w:w="6077" w:type="dxa"/>
            <w:vAlign w:val="center"/>
          </w:tcPr>
          <w:p w14:paraId="79F1E347"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PIA报告撰写规范与法律要求</w:t>
            </w:r>
          </w:p>
        </w:tc>
      </w:tr>
      <w:tr w:rsidR="00F80C18" w14:paraId="14534408" w14:textId="77777777">
        <w:trPr>
          <w:trHeight w:val="23"/>
          <w:jc w:val="center"/>
        </w:trPr>
        <w:tc>
          <w:tcPr>
            <w:tcW w:w="3699" w:type="dxa"/>
            <w:vMerge w:val="restart"/>
            <w:vAlign w:val="center"/>
          </w:tcPr>
          <w:p w14:paraId="23B18F14"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PIA技术实施</w:t>
            </w:r>
          </w:p>
        </w:tc>
        <w:tc>
          <w:tcPr>
            <w:tcW w:w="6077" w:type="dxa"/>
            <w:vAlign w:val="center"/>
          </w:tcPr>
          <w:p w14:paraId="6DCAB373"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评估技术方法与应用</w:t>
            </w:r>
          </w:p>
        </w:tc>
      </w:tr>
      <w:tr w:rsidR="00F80C18" w14:paraId="5D756F3B" w14:textId="77777777">
        <w:trPr>
          <w:trHeight w:val="23"/>
          <w:jc w:val="center"/>
        </w:trPr>
        <w:tc>
          <w:tcPr>
            <w:tcW w:w="3699" w:type="dxa"/>
            <w:vMerge/>
            <w:vAlign w:val="center"/>
          </w:tcPr>
          <w:p w14:paraId="5965A71E" w14:textId="77777777" w:rsidR="00F80C18" w:rsidRDefault="00F80C18">
            <w:pPr>
              <w:jc w:val="center"/>
              <w:rPr>
                <w:rFonts w:ascii="仿宋" w:eastAsia="仿宋" w:hAnsi="仿宋" w:cs="仿宋" w:hint="eastAsia"/>
                <w:kern w:val="0"/>
                <w:sz w:val="24"/>
              </w:rPr>
            </w:pPr>
          </w:p>
        </w:tc>
        <w:tc>
          <w:tcPr>
            <w:tcW w:w="6077" w:type="dxa"/>
            <w:vAlign w:val="center"/>
          </w:tcPr>
          <w:p w14:paraId="2BC91D4A"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处理敏感个人信息的技术评估要点</w:t>
            </w:r>
          </w:p>
        </w:tc>
      </w:tr>
      <w:tr w:rsidR="00F80C18" w14:paraId="225047E7" w14:textId="77777777">
        <w:trPr>
          <w:trHeight w:val="23"/>
          <w:jc w:val="center"/>
        </w:trPr>
        <w:tc>
          <w:tcPr>
            <w:tcW w:w="3699" w:type="dxa"/>
            <w:vMerge/>
            <w:vAlign w:val="center"/>
          </w:tcPr>
          <w:p w14:paraId="7D3911FB" w14:textId="77777777" w:rsidR="00F80C18" w:rsidRDefault="00F80C18">
            <w:pPr>
              <w:jc w:val="center"/>
              <w:rPr>
                <w:rFonts w:ascii="仿宋" w:eastAsia="仿宋" w:hAnsi="仿宋" w:cs="仿宋" w:hint="eastAsia"/>
                <w:kern w:val="0"/>
                <w:sz w:val="24"/>
              </w:rPr>
            </w:pPr>
          </w:p>
        </w:tc>
        <w:tc>
          <w:tcPr>
            <w:tcW w:w="6077" w:type="dxa"/>
            <w:vAlign w:val="center"/>
          </w:tcPr>
          <w:p w14:paraId="1173CB70"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利用个人信息进行自动化决策的技术评估要点</w:t>
            </w:r>
          </w:p>
        </w:tc>
      </w:tr>
      <w:tr w:rsidR="00F80C18" w14:paraId="1C4275F8" w14:textId="77777777">
        <w:trPr>
          <w:trHeight w:val="23"/>
          <w:jc w:val="center"/>
        </w:trPr>
        <w:tc>
          <w:tcPr>
            <w:tcW w:w="3699" w:type="dxa"/>
            <w:vMerge/>
            <w:vAlign w:val="center"/>
          </w:tcPr>
          <w:p w14:paraId="7CE335F1" w14:textId="77777777" w:rsidR="00F80C18" w:rsidRDefault="00F80C18">
            <w:pPr>
              <w:jc w:val="center"/>
              <w:rPr>
                <w:rFonts w:ascii="仿宋" w:eastAsia="仿宋" w:hAnsi="仿宋" w:cs="仿宋" w:hint="eastAsia"/>
                <w:kern w:val="0"/>
                <w:sz w:val="24"/>
              </w:rPr>
            </w:pPr>
          </w:p>
        </w:tc>
        <w:tc>
          <w:tcPr>
            <w:tcW w:w="6077" w:type="dxa"/>
            <w:vAlign w:val="center"/>
          </w:tcPr>
          <w:p w14:paraId="33995444"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委托处理个人信息、向其他个人信息处理者提供个人信息、公开个人信息的技术评估要点</w:t>
            </w:r>
          </w:p>
        </w:tc>
      </w:tr>
      <w:tr w:rsidR="00F80C18" w14:paraId="29A0D9CF" w14:textId="77777777">
        <w:trPr>
          <w:trHeight w:val="23"/>
          <w:jc w:val="center"/>
        </w:trPr>
        <w:tc>
          <w:tcPr>
            <w:tcW w:w="3699" w:type="dxa"/>
            <w:vMerge/>
            <w:vAlign w:val="center"/>
          </w:tcPr>
          <w:p w14:paraId="3CB46696" w14:textId="77777777" w:rsidR="00F80C18" w:rsidRDefault="00F80C18">
            <w:pPr>
              <w:jc w:val="center"/>
              <w:rPr>
                <w:rFonts w:ascii="仿宋" w:eastAsia="仿宋" w:hAnsi="仿宋" w:cs="仿宋" w:hint="eastAsia"/>
                <w:kern w:val="0"/>
                <w:sz w:val="24"/>
              </w:rPr>
            </w:pPr>
          </w:p>
        </w:tc>
        <w:tc>
          <w:tcPr>
            <w:tcW w:w="6077" w:type="dxa"/>
            <w:vAlign w:val="center"/>
          </w:tcPr>
          <w:p w14:paraId="6FD06ADF"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向境外提供个人信息的技术评估要点</w:t>
            </w:r>
          </w:p>
        </w:tc>
      </w:tr>
      <w:tr w:rsidR="00F80C18" w14:paraId="21C4B129" w14:textId="77777777">
        <w:trPr>
          <w:trHeight w:val="23"/>
          <w:jc w:val="center"/>
        </w:trPr>
        <w:tc>
          <w:tcPr>
            <w:tcW w:w="3699" w:type="dxa"/>
            <w:vMerge w:val="restart"/>
            <w:vAlign w:val="center"/>
          </w:tcPr>
          <w:p w14:paraId="1AD0AA26"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PIA工程化方法与实施</w:t>
            </w:r>
          </w:p>
        </w:tc>
        <w:tc>
          <w:tcPr>
            <w:tcW w:w="6077" w:type="dxa"/>
            <w:vAlign w:val="center"/>
          </w:tcPr>
          <w:p w14:paraId="521C4660"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从工程化角度重新理解PIA</w:t>
            </w:r>
          </w:p>
        </w:tc>
      </w:tr>
      <w:tr w:rsidR="00F80C18" w14:paraId="08DB7A9E" w14:textId="77777777">
        <w:trPr>
          <w:trHeight w:val="23"/>
          <w:jc w:val="center"/>
        </w:trPr>
        <w:tc>
          <w:tcPr>
            <w:tcW w:w="3699" w:type="dxa"/>
            <w:vMerge/>
            <w:vAlign w:val="center"/>
          </w:tcPr>
          <w:p w14:paraId="11CD3509" w14:textId="77777777" w:rsidR="00F80C18" w:rsidRDefault="00F80C18">
            <w:pPr>
              <w:jc w:val="center"/>
              <w:rPr>
                <w:rFonts w:ascii="仿宋" w:eastAsia="仿宋" w:hAnsi="仿宋" w:cs="仿宋" w:hint="eastAsia"/>
                <w:kern w:val="0"/>
                <w:sz w:val="24"/>
              </w:rPr>
            </w:pPr>
          </w:p>
        </w:tc>
        <w:tc>
          <w:tcPr>
            <w:tcW w:w="6077" w:type="dxa"/>
            <w:vAlign w:val="center"/>
          </w:tcPr>
          <w:p w14:paraId="08784428"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业界PIA最佳实践实例</w:t>
            </w:r>
          </w:p>
        </w:tc>
      </w:tr>
      <w:tr w:rsidR="00F80C18" w14:paraId="20C7F167" w14:textId="77777777">
        <w:trPr>
          <w:trHeight w:val="23"/>
          <w:jc w:val="center"/>
        </w:trPr>
        <w:tc>
          <w:tcPr>
            <w:tcW w:w="3699" w:type="dxa"/>
            <w:vMerge/>
            <w:vAlign w:val="center"/>
          </w:tcPr>
          <w:p w14:paraId="66FBA8D5" w14:textId="77777777" w:rsidR="00F80C18" w:rsidRDefault="00F80C18">
            <w:pPr>
              <w:jc w:val="center"/>
              <w:rPr>
                <w:rFonts w:ascii="仿宋" w:eastAsia="仿宋" w:hAnsi="仿宋" w:cs="仿宋" w:hint="eastAsia"/>
                <w:kern w:val="0"/>
                <w:sz w:val="24"/>
              </w:rPr>
            </w:pPr>
          </w:p>
        </w:tc>
        <w:tc>
          <w:tcPr>
            <w:tcW w:w="6077" w:type="dxa"/>
            <w:vAlign w:val="center"/>
          </w:tcPr>
          <w:p w14:paraId="5F88DE60"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PIA工程化方法与实施</w:t>
            </w:r>
          </w:p>
        </w:tc>
      </w:tr>
      <w:tr w:rsidR="00F80C18" w14:paraId="1A7608EB" w14:textId="77777777">
        <w:trPr>
          <w:trHeight w:val="23"/>
          <w:jc w:val="center"/>
        </w:trPr>
        <w:tc>
          <w:tcPr>
            <w:tcW w:w="3699" w:type="dxa"/>
            <w:vAlign w:val="center"/>
          </w:tcPr>
          <w:p w14:paraId="3184BECE"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PIA案例深度拆解</w:t>
            </w:r>
          </w:p>
        </w:tc>
        <w:tc>
          <w:tcPr>
            <w:tcW w:w="6077" w:type="dxa"/>
            <w:vAlign w:val="center"/>
          </w:tcPr>
          <w:p w14:paraId="4C98BC21"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PIA案例深度拆解</w:t>
            </w:r>
          </w:p>
        </w:tc>
      </w:tr>
      <w:tr w:rsidR="00F80C18" w14:paraId="2082FA64" w14:textId="77777777">
        <w:trPr>
          <w:trHeight w:val="23"/>
          <w:jc w:val="center"/>
        </w:trPr>
        <w:tc>
          <w:tcPr>
            <w:tcW w:w="3699" w:type="dxa"/>
            <w:vAlign w:val="center"/>
          </w:tcPr>
          <w:p w14:paraId="3D40EB6C"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PIA案例实施讲解</w:t>
            </w:r>
          </w:p>
        </w:tc>
        <w:tc>
          <w:tcPr>
            <w:tcW w:w="6077" w:type="dxa"/>
            <w:vAlign w:val="center"/>
          </w:tcPr>
          <w:p w14:paraId="7E947615"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PIA案例实施讲解</w:t>
            </w:r>
          </w:p>
        </w:tc>
      </w:tr>
      <w:tr w:rsidR="00F80C18" w14:paraId="4700A71A" w14:textId="77777777">
        <w:trPr>
          <w:trHeight w:val="23"/>
          <w:jc w:val="center"/>
        </w:trPr>
        <w:tc>
          <w:tcPr>
            <w:tcW w:w="3699" w:type="dxa"/>
            <w:vMerge w:val="restart"/>
            <w:vAlign w:val="center"/>
          </w:tcPr>
          <w:p w14:paraId="5BCCA46B"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PIA实训平台演练</w:t>
            </w:r>
          </w:p>
        </w:tc>
        <w:tc>
          <w:tcPr>
            <w:tcW w:w="6077" w:type="dxa"/>
            <w:vAlign w:val="center"/>
          </w:tcPr>
          <w:p w14:paraId="54CC91C2"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实训导入：评估平台操作指南与任务说明</w:t>
            </w:r>
          </w:p>
        </w:tc>
      </w:tr>
      <w:tr w:rsidR="00F80C18" w14:paraId="39942791" w14:textId="77777777">
        <w:trPr>
          <w:trHeight w:val="23"/>
          <w:jc w:val="center"/>
        </w:trPr>
        <w:tc>
          <w:tcPr>
            <w:tcW w:w="3699" w:type="dxa"/>
            <w:vMerge/>
            <w:vAlign w:val="center"/>
          </w:tcPr>
          <w:p w14:paraId="7F17724C" w14:textId="77777777" w:rsidR="00F80C18" w:rsidRDefault="00F80C18">
            <w:pPr>
              <w:jc w:val="center"/>
              <w:rPr>
                <w:rFonts w:ascii="仿宋" w:eastAsia="仿宋" w:hAnsi="仿宋" w:cs="仿宋" w:hint="eastAsia"/>
                <w:kern w:val="0"/>
                <w:sz w:val="24"/>
              </w:rPr>
            </w:pPr>
          </w:p>
        </w:tc>
        <w:tc>
          <w:tcPr>
            <w:tcW w:w="6077" w:type="dxa"/>
            <w:vAlign w:val="center"/>
          </w:tcPr>
          <w:p w14:paraId="4188D65B"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通过实训平台模拟评估（</w:t>
            </w:r>
            <w:proofErr w:type="gramStart"/>
            <w:r>
              <w:rPr>
                <w:rFonts w:ascii="仿宋" w:eastAsia="仿宋" w:hAnsi="仿宋" w:cs="仿宋" w:hint="eastAsia"/>
                <w:kern w:val="0"/>
                <w:sz w:val="24"/>
              </w:rPr>
              <w:t>含数据</w:t>
            </w:r>
            <w:proofErr w:type="gramEnd"/>
            <w:r>
              <w:rPr>
                <w:rFonts w:ascii="仿宋" w:eastAsia="仿宋" w:hAnsi="仿宋" w:cs="仿宋" w:hint="eastAsia"/>
                <w:kern w:val="0"/>
                <w:sz w:val="24"/>
              </w:rPr>
              <w:t>映射、风险识别、报告生成）</w:t>
            </w:r>
          </w:p>
        </w:tc>
      </w:tr>
      <w:tr w:rsidR="00F80C18" w14:paraId="44BF3DC7" w14:textId="77777777">
        <w:trPr>
          <w:trHeight w:val="23"/>
          <w:jc w:val="center"/>
        </w:trPr>
        <w:tc>
          <w:tcPr>
            <w:tcW w:w="3699" w:type="dxa"/>
            <w:vMerge w:val="restart"/>
            <w:vAlign w:val="center"/>
          </w:tcPr>
          <w:p w14:paraId="03BEBC99" w14:textId="77777777" w:rsidR="00F80C18" w:rsidRDefault="00000000">
            <w:pPr>
              <w:jc w:val="center"/>
              <w:rPr>
                <w:rFonts w:ascii="仿宋" w:eastAsia="仿宋" w:hAnsi="仿宋" w:cs="仿宋" w:hint="eastAsia"/>
                <w:kern w:val="0"/>
                <w:sz w:val="24"/>
              </w:rPr>
            </w:pPr>
            <w:r>
              <w:rPr>
                <w:rFonts w:ascii="仿宋" w:eastAsia="仿宋" w:hAnsi="仿宋" w:cs="仿宋" w:hint="eastAsia"/>
                <w:kern w:val="0"/>
                <w:sz w:val="24"/>
              </w:rPr>
              <w:t>PIA实操</w:t>
            </w:r>
          </w:p>
        </w:tc>
        <w:tc>
          <w:tcPr>
            <w:tcW w:w="6077" w:type="dxa"/>
            <w:vAlign w:val="center"/>
          </w:tcPr>
          <w:p w14:paraId="4755E1AB"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评估报告撰写</w:t>
            </w:r>
          </w:p>
        </w:tc>
      </w:tr>
      <w:tr w:rsidR="00F80C18" w14:paraId="11BC00DC" w14:textId="77777777">
        <w:trPr>
          <w:trHeight w:val="23"/>
          <w:jc w:val="center"/>
        </w:trPr>
        <w:tc>
          <w:tcPr>
            <w:tcW w:w="3699" w:type="dxa"/>
            <w:vMerge/>
            <w:vAlign w:val="center"/>
          </w:tcPr>
          <w:p w14:paraId="77B1E144" w14:textId="77777777" w:rsidR="00F80C18" w:rsidRDefault="00F80C18">
            <w:pPr>
              <w:rPr>
                <w:rFonts w:ascii="仿宋" w:eastAsia="仿宋" w:hAnsi="仿宋" w:cs="仿宋" w:hint="eastAsia"/>
                <w:kern w:val="0"/>
                <w:sz w:val="24"/>
              </w:rPr>
            </w:pPr>
          </w:p>
        </w:tc>
        <w:tc>
          <w:tcPr>
            <w:tcW w:w="6077" w:type="dxa"/>
            <w:vAlign w:val="center"/>
          </w:tcPr>
          <w:p w14:paraId="7E1BF612" w14:textId="77777777" w:rsidR="00F80C18" w:rsidRDefault="00000000">
            <w:pPr>
              <w:rPr>
                <w:rFonts w:ascii="仿宋" w:eastAsia="仿宋" w:hAnsi="仿宋" w:cs="仿宋" w:hint="eastAsia"/>
                <w:kern w:val="0"/>
                <w:sz w:val="24"/>
              </w:rPr>
            </w:pPr>
            <w:r>
              <w:rPr>
                <w:rFonts w:ascii="仿宋" w:eastAsia="仿宋" w:hAnsi="仿宋" w:cs="仿宋" w:hint="eastAsia"/>
                <w:kern w:val="0"/>
                <w:sz w:val="24"/>
              </w:rPr>
              <w:t>报告点评与评估能力综合反馈</w:t>
            </w:r>
          </w:p>
        </w:tc>
      </w:tr>
    </w:tbl>
    <w:p w14:paraId="7479B62F" w14:textId="77777777" w:rsidR="00F80C18" w:rsidRDefault="00F80C18">
      <w:pPr>
        <w:widowControl/>
        <w:shd w:val="clear" w:color="auto" w:fill="FFFFFF" w:themeFill="background1"/>
        <w:rPr>
          <w:rFonts w:ascii="黑体" w:eastAsia="黑体" w:hAnsi="黑体" w:cs="宋体" w:hint="eastAsia"/>
          <w:color w:val="000000"/>
          <w:spacing w:val="8"/>
          <w:kern w:val="0"/>
          <w:sz w:val="32"/>
          <w:szCs w:val="32"/>
        </w:rPr>
      </w:pPr>
    </w:p>
    <w:p w14:paraId="7C4F271A" w14:textId="77777777" w:rsidR="00F80C18" w:rsidRDefault="00F80C18">
      <w:pPr>
        <w:widowControl/>
        <w:shd w:val="clear" w:color="auto" w:fill="FFFFFF" w:themeFill="background1"/>
        <w:rPr>
          <w:rFonts w:ascii="黑体" w:eastAsia="黑体" w:hAnsi="黑体" w:cs="宋体" w:hint="eastAsia"/>
          <w:color w:val="000000"/>
          <w:spacing w:val="8"/>
          <w:kern w:val="0"/>
          <w:sz w:val="32"/>
          <w:szCs w:val="32"/>
        </w:rPr>
      </w:pPr>
    </w:p>
    <w:p w14:paraId="039BFE5E" w14:textId="77777777" w:rsidR="00F80C18" w:rsidRDefault="00F80C18">
      <w:pPr>
        <w:widowControl/>
        <w:shd w:val="clear" w:color="auto" w:fill="FFFFFF" w:themeFill="background1"/>
        <w:rPr>
          <w:rFonts w:ascii="黑体" w:eastAsia="黑体" w:hAnsi="黑体" w:cs="宋体" w:hint="eastAsia"/>
          <w:color w:val="000000"/>
          <w:spacing w:val="8"/>
          <w:kern w:val="0"/>
          <w:sz w:val="32"/>
          <w:szCs w:val="32"/>
        </w:rPr>
      </w:pPr>
    </w:p>
    <w:p w14:paraId="127A219C" w14:textId="77777777" w:rsidR="00F80C18" w:rsidRDefault="00F80C18">
      <w:pPr>
        <w:widowControl/>
        <w:shd w:val="clear" w:color="auto" w:fill="FFFFFF" w:themeFill="background1"/>
        <w:rPr>
          <w:rFonts w:ascii="黑体" w:eastAsia="黑体" w:hAnsi="黑体" w:cs="宋体" w:hint="eastAsia"/>
          <w:color w:val="000000"/>
          <w:spacing w:val="8"/>
          <w:kern w:val="0"/>
          <w:sz w:val="32"/>
          <w:szCs w:val="32"/>
        </w:rPr>
      </w:pPr>
    </w:p>
    <w:p w14:paraId="72681FC2" w14:textId="77777777" w:rsidR="00F80C18" w:rsidRDefault="00F80C18">
      <w:pPr>
        <w:widowControl/>
        <w:shd w:val="clear" w:color="auto" w:fill="FFFFFF" w:themeFill="background1"/>
        <w:rPr>
          <w:rFonts w:ascii="黑体" w:eastAsia="黑体" w:hAnsi="黑体" w:cs="宋体" w:hint="eastAsia"/>
          <w:color w:val="000000"/>
          <w:spacing w:val="8"/>
          <w:kern w:val="0"/>
          <w:sz w:val="32"/>
          <w:szCs w:val="32"/>
        </w:rPr>
      </w:pPr>
    </w:p>
    <w:p w14:paraId="1F973743" w14:textId="77777777" w:rsidR="00F80C18" w:rsidRDefault="00F80C18">
      <w:pPr>
        <w:widowControl/>
        <w:shd w:val="clear" w:color="auto" w:fill="FFFFFF" w:themeFill="background1"/>
        <w:rPr>
          <w:rFonts w:ascii="黑体" w:eastAsia="黑体" w:hAnsi="黑体" w:cs="宋体" w:hint="eastAsia"/>
          <w:color w:val="000000"/>
          <w:spacing w:val="8"/>
          <w:kern w:val="0"/>
          <w:sz w:val="32"/>
          <w:szCs w:val="32"/>
        </w:rPr>
      </w:pPr>
    </w:p>
    <w:p w14:paraId="072FBA78" w14:textId="77777777" w:rsidR="00F80C18" w:rsidRDefault="00F80C18">
      <w:pPr>
        <w:widowControl/>
        <w:shd w:val="clear" w:color="auto" w:fill="FFFFFF" w:themeFill="background1"/>
        <w:rPr>
          <w:rFonts w:ascii="黑体" w:eastAsia="黑体" w:hAnsi="黑体" w:cs="宋体" w:hint="eastAsia"/>
          <w:color w:val="000000"/>
          <w:spacing w:val="8"/>
          <w:kern w:val="0"/>
          <w:sz w:val="32"/>
          <w:szCs w:val="32"/>
        </w:rPr>
      </w:pPr>
    </w:p>
    <w:p w14:paraId="4D1138C1" w14:textId="77777777" w:rsidR="00F80C18" w:rsidRDefault="00F80C18">
      <w:pPr>
        <w:widowControl/>
        <w:shd w:val="clear" w:color="auto" w:fill="FFFFFF" w:themeFill="background1"/>
        <w:rPr>
          <w:rFonts w:ascii="黑体" w:eastAsia="黑体" w:hAnsi="黑体" w:cs="宋体" w:hint="eastAsia"/>
          <w:color w:val="000000"/>
          <w:spacing w:val="8"/>
          <w:kern w:val="0"/>
          <w:sz w:val="32"/>
          <w:szCs w:val="32"/>
        </w:rPr>
      </w:pPr>
    </w:p>
    <w:bookmarkEnd w:id="0"/>
    <w:p w14:paraId="28BB0F91" w14:textId="77777777" w:rsidR="00F80C18" w:rsidRDefault="00F80C18">
      <w:pPr>
        <w:widowControl/>
        <w:shd w:val="clear" w:color="auto" w:fill="FFFFFF" w:themeFill="background1"/>
        <w:rPr>
          <w:rFonts w:ascii="黑体" w:eastAsia="黑体" w:hAnsi="黑体" w:cs="宋体" w:hint="eastAsia"/>
          <w:color w:val="000000"/>
          <w:spacing w:val="8"/>
          <w:kern w:val="0"/>
          <w:sz w:val="32"/>
          <w:szCs w:val="32"/>
        </w:rPr>
      </w:pPr>
    </w:p>
    <w:sectPr w:rsidR="00F80C18">
      <w:headerReference w:type="default" r:id="rId8"/>
      <w:footerReference w:type="default" r:id="rId9"/>
      <w:pgSz w:w="11906" w:h="16838"/>
      <w:pgMar w:top="1440" w:right="1417" w:bottom="132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F049" w14:textId="77777777" w:rsidR="00456E6E" w:rsidRDefault="00456E6E">
      <w:r>
        <w:separator/>
      </w:r>
    </w:p>
  </w:endnote>
  <w:endnote w:type="continuationSeparator" w:id="0">
    <w:p w14:paraId="4A169ABB" w14:textId="77777777" w:rsidR="00456E6E" w:rsidRDefault="0045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1622" w14:textId="77777777" w:rsidR="00F80C18" w:rsidRDefault="00000000">
    <w:pPr>
      <w:pStyle w:val="a6"/>
    </w:pPr>
    <w:r>
      <w:rPr>
        <w:noProof/>
      </w:rPr>
      <mc:AlternateContent>
        <mc:Choice Requires="wps">
          <w:drawing>
            <wp:anchor distT="0" distB="0" distL="114300" distR="114300" simplePos="0" relativeHeight="251661312" behindDoc="0" locked="0" layoutInCell="1" allowOverlap="1" wp14:anchorId="7795B5B7" wp14:editId="45691674">
              <wp:simplePos x="0" y="0"/>
              <wp:positionH relativeFrom="margin">
                <wp:align>center</wp:align>
              </wp:positionH>
              <wp:positionV relativeFrom="paragraph">
                <wp:posOffset>0</wp:posOffset>
              </wp:positionV>
              <wp:extent cx="389255" cy="217170"/>
              <wp:effectExtent l="0" t="0" r="0" b="0"/>
              <wp:wrapNone/>
              <wp:docPr id="4" name="文本框 2"/>
              <wp:cNvGraphicFramePr/>
              <a:graphic xmlns:a="http://schemas.openxmlformats.org/drawingml/2006/main">
                <a:graphicData uri="http://schemas.microsoft.com/office/word/2010/wordprocessingShape">
                  <wps:wsp>
                    <wps:cNvSpPr txBox="1"/>
                    <wps:spPr>
                      <a:xfrm>
                        <a:off x="0" y="0"/>
                        <a:ext cx="389255" cy="217170"/>
                      </a:xfrm>
                      <a:prstGeom prst="rect">
                        <a:avLst/>
                      </a:prstGeom>
                      <a:noFill/>
                      <a:ln w="22225">
                        <a:noFill/>
                      </a:ln>
                    </wps:spPr>
                    <wps:txbx>
                      <w:txbxContent>
                        <w:p w14:paraId="6B8F4C69" w14:textId="77777777" w:rsidR="00F80C18" w:rsidRDefault="00000000">
                          <w:pPr>
                            <w:pStyle w:val="a6"/>
                          </w:pPr>
                          <w:r>
                            <w:fldChar w:fldCharType="begin"/>
                          </w:r>
                          <w:r>
                            <w:instrText xml:space="preserve"> PAGE  \* MERGEFORMAT </w:instrText>
                          </w:r>
                          <w:r>
                            <w:fldChar w:fldCharType="separate"/>
                          </w:r>
                          <w:r>
                            <w:t>1</w:t>
                          </w:r>
                          <w:r>
                            <w:fldChar w:fldCharType="end"/>
                          </w:r>
                          <w:r>
                            <w:t xml:space="preserve"> / </w:t>
                          </w:r>
                          <w:fldSimple w:instr=" NUMPAGES  \* MERGEFORMAT ">
                            <w:r>
                              <w:t>11</w:t>
                            </w:r>
                          </w:fldSimple>
                        </w:p>
                      </w:txbxContent>
                    </wps:txbx>
                    <wps:bodyPr vert="horz" wrap="square" lIns="0" tIns="0" rIns="0" bIns="0" anchor="t" anchorCtr="0">
                      <a:noAutofit/>
                    </wps:bodyPr>
                  </wps:wsp>
                </a:graphicData>
              </a:graphic>
            </wp:anchor>
          </w:drawing>
        </mc:Choice>
        <mc:Fallback>
          <w:pict>
            <v:shapetype w14:anchorId="7795B5B7" id="_x0000_t202" coordsize="21600,21600" o:spt="202" path="m,l,21600r21600,l21600,xe">
              <v:stroke joinstyle="miter"/>
              <v:path gradientshapeok="t" o:connecttype="rect"/>
            </v:shapetype>
            <v:shape id="文本框 2" o:spid="_x0000_s1026" type="#_x0000_t202" style="position:absolute;margin-left:0;margin-top:0;width:30.65pt;height:17.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" filled="f" stroked="f" strokeweight="1.75pt">
              <v:textbox inset="0,0,0,0">
                <w:txbxContent>
                  <w:p w14:paraId="6B8F4C69" w14:textId="77777777" w:rsidR="00F80C18" w:rsidRDefault="00000000">
                    <w:pPr>
                      <w:pStyle w:val="a6"/>
                    </w:pPr>
                    <w:r>
                      <w:fldChar w:fldCharType="begin"/>
                    </w:r>
                    <w:r>
                      <w:instrText xml:space="preserve"> PAGE  \* MERGEFORMAT </w:instrText>
                    </w:r>
                    <w:r>
                      <w:fldChar w:fldCharType="separate"/>
                    </w:r>
                    <w:r>
                      <w:t>1</w:t>
                    </w:r>
                    <w:r>
                      <w:fldChar w:fldCharType="end"/>
                    </w:r>
                    <w:r>
                      <w:t xml:space="preserve"> / </w:t>
                    </w:r>
                    <w:fldSimple w:instr=" NUMPAGES  \* MERGEFORMAT ">
                      <w:r>
                        <w:t>11</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E724" w14:textId="77777777" w:rsidR="00456E6E" w:rsidRDefault="00456E6E">
      <w:r>
        <w:separator/>
      </w:r>
    </w:p>
  </w:footnote>
  <w:footnote w:type="continuationSeparator" w:id="0">
    <w:p w14:paraId="28EFE6CD" w14:textId="77777777" w:rsidR="00456E6E" w:rsidRDefault="0045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50FF" w14:textId="77777777" w:rsidR="00F80C18" w:rsidRDefault="00F80C18">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86270"/>
    <w:multiLevelType w:val="singleLevel"/>
    <w:tmpl w:val="3A286270"/>
    <w:lvl w:ilvl="0">
      <w:start w:val="1"/>
      <w:numFmt w:val="chineseCounting"/>
      <w:suff w:val="nothing"/>
      <w:lvlText w:val="（%1）"/>
      <w:lvlJc w:val="left"/>
      <w:pPr>
        <w:ind w:left="0" w:firstLine="420"/>
      </w:pPr>
      <w:rPr>
        <w:rFonts w:hint="eastAsia"/>
      </w:rPr>
    </w:lvl>
  </w:abstractNum>
  <w:abstractNum w:abstractNumId="1" w15:restartNumberingAfterBreak="0">
    <w:nsid w:val="4CF9C43E"/>
    <w:multiLevelType w:val="singleLevel"/>
    <w:tmpl w:val="4CF9C43E"/>
    <w:lvl w:ilvl="0">
      <w:start w:val="9"/>
      <w:numFmt w:val="chineseCounting"/>
      <w:suff w:val="nothing"/>
      <w:lvlText w:val="%1、"/>
      <w:lvlJc w:val="left"/>
      <w:rPr>
        <w:rFonts w:hint="eastAsia"/>
      </w:rPr>
    </w:lvl>
  </w:abstractNum>
  <w:num w:numId="1" w16cid:durableId="753205512">
    <w:abstractNumId w:val="0"/>
  </w:num>
  <w:num w:numId="2" w16cid:durableId="1250383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strokecolor="red">
      <v:fill color="white"/>
      <v:stroke color="red" weight="1.7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B46"/>
    <w:rsid w:val="00015B6C"/>
    <w:rsid w:val="00023B93"/>
    <w:rsid w:val="00067711"/>
    <w:rsid w:val="0007210F"/>
    <w:rsid w:val="00081488"/>
    <w:rsid w:val="000A6956"/>
    <w:rsid w:val="000B6892"/>
    <w:rsid w:val="000D010F"/>
    <w:rsid w:val="000F6398"/>
    <w:rsid w:val="00103E4D"/>
    <w:rsid w:val="001115B2"/>
    <w:rsid w:val="001141CE"/>
    <w:rsid w:val="00132466"/>
    <w:rsid w:val="0016647B"/>
    <w:rsid w:val="00172814"/>
    <w:rsid w:val="00187751"/>
    <w:rsid w:val="001D1342"/>
    <w:rsid w:val="001F2D21"/>
    <w:rsid w:val="0021196B"/>
    <w:rsid w:val="00222A37"/>
    <w:rsid w:val="00233382"/>
    <w:rsid w:val="00245714"/>
    <w:rsid w:val="0025596C"/>
    <w:rsid w:val="00275E83"/>
    <w:rsid w:val="002911BF"/>
    <w:rsid w:val="002D1ACA"/>
    <w:rsid w:val="002D4228"/>
    <w:rsid w:val="002D6E12"/>
    <w:rsid w:val="003036C3"/>
    <w:rsid w:val="00331228"/>
    <w:rsid w:val="00343520"/>
    <w:rsid w:val="00354E3E"/>
    <w:rsid w:val="00357722"/>
    <w:rsid w:val="00357A4B"/>
    <w:rsid w:val="0037635C"/>
    <w:rsid w:val="00381610"/>
    <w:rsid w:val="00393E73"/>
    <w:rsid w:val="003964D3"/>
    <w:rsid w:val="00396736"/>
    <w:rsid w:val="003B1360"/>
    <w:rsid w:val="003B66A6"/>
    <w:rsid w:val="003D038A"/>
    <w:rsid w:val="003E0D03"/>
    <w:rsid w:val="003E3A70"/>
    <w:rsid w:val="003E7DF8"/>
    <w:rsid w:val="003F6376"/>
    <w:rsid w:val="00403FB5"/>
    <w:rsid w:val="0042249E"/>
    <w:rsid w:val="0042667B"/>
    <w:rsid w:val="00430ADA"/>
    <w:rsid w:val="00440140"/>
    <w:rsid w:val="00456E6E"/>
    <w:rsid w:val="00482CE1"/>
    <w:rsid w:val="004C21F0"/>
    <w:rsid w:val="004C65FD"/>
    <w:rsid w:val="004D41B3"/>
    <w:rsid w:val="004D5601"/>
    <w:rsid w:val="00566E2C"/>
    <w:rsid w:val="00573A4C"/>
    <w:rsid w:val="005822E0"/>
    <w:rsid w:val="00584BF7"/>
    <w:rsid w:val="005A6185"/>
    <w:rsid w:val="005A642F"/>
    <w:rsid w:val="006476E7"/>
    <w:rsid w:val="0068712C"/>
    <w:rsid w:val="006A2F96"/>
    <w:rsid w:val="006E2EDA"/>
    <w:rsid w:val="006F2181"/>
    <w:rsid w:val="007175BE"/>
    <w:rsid w:val="00727583"/>
    <w:rsid w:val="00745E85"/>
    <w:rsid w:val="00745F5D"/>
    <w:rsid w:val="00763647"/>
    <w:rsid w:val="007965BB"/>
    <w:rsid w:val="007B5ED0"/>
    <w:rsid w:val="007C3FA1"/>
    <w:rsid w:val="007E5E6B"/>
    <w:rsid w:val="008055BB"/>
    <w:rsid w:val="008235B4"/>
    <w:rsid w:val="00823A60"/>
    <w:rsid w:val="0083305A"/>
    <w:rsid w:val="00841377"/>
    <w:rsid w:val="00844A40"/>
    <w:rsid w:val="00844E68"/>
    <w:rsid w:val="00864B7A"/>
    <w:rsid w:val="00876792"/>
    <w:rsid w:val="008909A4"/>
    <w:rsid w:val="008B479C"/>
    <w:rsid w:val="008B7B83"/>
    <w:rsid w:val="008D20D4"/>
    <w:rsid w:val="008D4980"/>
    <w:rsid w:val="008E2485"/>
    <w:rsid w:val="009040E6"/>
    <w:rsid w:val="00940E56"/>
    <w:rsid w:val="00992085"/>
    <w:rsid w:val="009C5D76"/>
    <w:rsid w:val="009E2715"/>
    <w:rsid w:val="009E292E"/>
    <w:rsid w:val="009E4FB9"/>
    <w:rsid w:val="009E5330"/>
    <w:rsid w:val="009F6EB1"/>
    <w:rsid w:val="00A1339B"/>
    <w:rsid w:val="00A15F30"/>
    <w:rsid w:val="00A16324"/>
    <w:rsid w:val="00A21C6A"/>
    <w:rsid w:val="00A23812"/>
    <w:rsid w:val="00A24124"/>
    <w:rsid w:val="00A44FED"/>
    <w:rsid w:val="00A7796A"/>
    <w:rsid w:val="00A912B1"/>
    <w:rsid w:val="00A91688"/>
    <w:rsid w:val="00A938AE"/>
    <w:rsid w:val="00AA6E6F"/>
    <w:rsid w:val="00AC19A9"/>
    <w:rsid w:val="00AE250B"/>
    <w:rsid w:val="00AF1079"/>
    <w:rsid w:val="00B04FA3"/>
    <w:rsid w:val="00B10E67"/>
    <w:rsid w:val="00B15CAC"/>
    <w:rsid w:val="00B271B7"/>
    <w:rsid w:val="00B3419E"/>
    <w:rsid w:val="00B42AE9"/>
    <w:rsid w:val="00B43581"/>
    <w:rsid w:val="00B57DD5"/>
    <w:rsid w:val="00B82610"/>
    <w:rsid w:val="00B9130A"/>
    <w:rsid w:val="00BB6756"/>
    <w:rsid w:val="00BB77E9"/>
    <w:rsid w:val="00BE219D"/>
    <w:rsid w:val="00BE5B46"/>
    <w:rsid w:val="00BF4AB4"/>
    <w:rsid w:val="00C17DED"/>
    <w:rsid w:val="00C17E33"/>
    <w:rsid w:val="00C667FA"/>
    <w:rsid w:val="00C70BE1"/>
    <w:rsid w:val="00C7565B"/>
    <w:rsid w:val="00C86AB0"/>
    <w:rsid w:val="00CA2DEE"/>
    <w:rsid w:val="00CD5E98"/>
    <w:rsid w:val="00CE1BA8"/>
    <w:rsid w:val="00CF3758"/>
    <w:rsid w:val="00D00A35"/>
    <w:rsid w:val="00D247FE"/>
    <w:rsid w:val="00D34F37"/>
    <w:rsid w:val="00D931EC"/>
    <w:rsid w:val="00DA622B"/>
    <w:rsid w:val="00DF5180"/>
    <w:rsid w:val="00E15E5C"/>
    <w:rsid w:val="00E2722E"/>
    <w:rsid w:val="00E62DB6"/>
    <w:rsid w:val="00E6687A"/>
    <w:rsid w:val="00E66F96"/>
    <w:rsid w:val="00E77F9D"/>
    <w:rsid w:val="00EC0E0E"/>
    <w:rsid w:val="00EE03EC"/>
    <w:rsid w:val="00EF2046"/>
    <w:rsid w:val="00EF651B"/>
    <w:rsid w:val="00F36D2E"/>
    <w:rsid w:val="00F52A26"/>
    <w:rsid w:val="00F5463E"/>
    <w:rsid w:val="00F6219D"/>
    <w:rsid w:val="00F80C18"/>
    <w:rsid w:val="00F812A5"/>
    <w:rsid w:val="00F813D8"/>
    <w:rsid w:val="00F975AA"/>
    <w:rsid w:val="00FB4B37"/>
    <w:rsid w:val="00FC5C4B"/>
    <w:rsid w:val="00FE7D2D"/>
    <w:rsid w:val="0BB707CE"/>
    <w:rsid w:val="1518152A"/>
    <w:rsid w:val="1FCF2822"/>
    <w:rsid w:val="265E5200"/>
    <w:rsid w:val="2BC648F6"/>
    <w:rsid w:val="44293BFE"/>
    <w:rsid w:val="4A0646E4"/>
    <w:rsid w:val="4A9664B9"/>
    <w:rsid w:val="4B012A07"/>
    <w:rsid w:val="51B26705"/>
    <w:rsid w:val="60EA4DDA"/>
    <w:rsid w:val="6234537D"/>
    <w:rsid w:val="7A707D3B"/>
    <w:rsid w:val="7AFD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1.75pt"/>
    </o:shapedefaults>
    <o:shapelayout v:ext="edit">
      <o:idmap v:ext="edit" data="2"/>
    </o:shapelayout>
  </w:shapeDefaults>
  <w:decimalSymbol w:val="."/>
  <w:listSeparator w:val=","/>
  <w14:docId w14:val="788F97F4"/>
  <w15:docId w15:val="{999F2F87-17E9-4175-855E-C4477D69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jc w:val="center"/>
    </w:pPr>
    <w:rPr>
      <w:rFonts w:eastAsia="方正小标宋简体"/>
      <w:bCs/>
      <w:color w:val="FF0000"/>
      <w:spacing w:val="-40"/>
      <w:w w:val="66"/>
      <w:sz w:val="110"/>
      <w:szCs w:val="20"/>
    </w:r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3"/>
    <w:semiHidden/>
    <w:qFormat/>
    <w:rPr>
      <w:rFonts w:eastAsia="方正小标宋简体"/>
      <w:bCs/>
      <w:color w:val="FF0000"/>
      <w:spacing w:val="-40"/>
      <w:w w:val="66"/>
      <w:kern w:val="2"/>
      <w:sz w:val="110"/>
      <w:lang w:val="en-US" w:eastAsia="zh-CN" w:bidi="ar-SA"/>
    </w:rPr>
  </w:style>
  <w:style w:type="character" w:customStyle="1" w:styleId="a9">
    <w:name w:val="页眉 字符"/>
    <w:link w:val="a8"/>
    <w:qFormat/>
    <w:rPr>
      <w:kern w:val="2"/>
      <w:sz w:val="18"/>
      <w:szCs w:val="18"/>
    </w:rPr>
  </w:style>
  <w:style w:type="character" w:customStyle="1" w:styleId="a7">
    <w:name w:val="页脚 字符"/>
    <w:link w:val="a6"/>
    <w:qFormat/>
    <w:rPr>
      <w:kern w:val="2"/>
      <w:sz w:val="18"/>
      <w:szCs w:val="18"/>
    </w:rPr>
  </w:style>
  <w:style w:type="paragraph" w:customStyle="1" w:styleId="1">
    <w:name w:val="列出段落1"/>
    <w:basedOn w:val="a"/>
    <w:autoRedefine/>
    <w:uiPriority w:val="34"/>
    <w:qFormat/>
    <w:pPr>
      <w:spacing w:afterLines="50" w:after="156"/>
      <w:jc w:val="left"/>
    </w:pPr>
    <w:rPr>
      <w:rFonts w:asciiTheme="minorEastAsia" w:eastAsiaTheme="minorEastAsia" w:hAnsiTheme="minorEastAsia" w:cstheme="majorEastAsia"/>
      <w:b/>
      <w:bCs/>
      <w:sz w:val="32"/>
      <w:szCs w:val="32"/>
    </w:rPr>
  </w:style>
  <w:style w:type="paragraph" w:styleId="ab">
    <w:name w:val="List Paragraph"/>
    <w:basedOn w:val="a"/>
    <w:autoRedefine/>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1276</Characters>
  <Application>Microsoft Office Word</Application>
  <DocSecurity>0</DocSecurity>
  <Lines>116</Lines>
  <Paragraphs>114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zhengjj@ccace.org.cn</cp:lastModifiedBy>
  <cp:revision>2</cp:revision>
  <cp:lastPrinted>2018-09-05T09:21:00Z</cp:lastPrinted>
  <dcterms:created xsi:type="dcterms:W3CDTF">2019-10-30T01:42:00Z</dcterms:created>
  <dcterms:modified xsi:type="dcterms:W3CDTF">2026-01-19T02:54:00Z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eyJoZGlkIjoiYjg2MDNhZmM4ZjdlZTRlYzE4OGY2MDJhMDMxMTAyNjgiLCJ1c2VySWQiOiIzNzQwNjUyNzcifQ==</vt:lpwstr>
  </property>
  <property fmtid="{D5CDD505-2E9C-101B-9397-08002B2CF9AE}" pid="3" name="KSOProductBuildVer">
    <vt:lpwstr>2052-12.1.0.24034</vt:lpwstr>
  </property>
  <property fmtid="{D5CDD505-2E9C-101B-9397-08002B2CF9AE}" pid="4" name="ICV">
    <vt:lpwstr>0C607A7CD76A4E65A12B28EE2BDD9934_13</vt:lpwstr>
  </property>
</Properties>
</file>