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77" w:rsidRDefault="00D72477" w:rsidP="00D72477">
      <w:pPr>
        <w:pStyle w:val="1"/>
        <w:keepNext w:val="0"/>
        <w:keepLines w:val="0"/>
        <w:spacing w:before="0" w:after="0" w:line="480" w:lineRule="atLeast"/>
        <w:rPr>
          <w:rFonts w:ascii="黑体" w:eastAsia="黑体" w:hAnsi="黑体" w:cs="黑体"/>
          <w:b w:val="0"/>
          <w:sz w:val="32"/>
          <w:szCs w:val="32"/>
        </w:rPr>
      </w:pPr>
      <w:bookmarkStart w:id="0" w:name="正文"/>
      <w:r>
        <w:rPr>
          <w:rFonts w:ascii="黑体" w:eastAsia="黑体" w:hAnsi="黑体" w:cs="黑体" w:hint="eastAsia"/>
          <w:b w:val="0"/>
          <w:sz w:val="32"/>
          <w:szCs w:val="32"/>
        </w:rPr>
        <w:t>附件1</w:t>
      </w:r>
    </w:p>
    <w:p w:rsidR="00D72477" w:rsidRDefault="00D72477" w:rsidP="00D72477"/>
    <w:p w:rsidR="00D72477" w:rsidRDefault="00D72477" w:rsidP="00D72477">
      <w:pPr>
        <w:widowControl/>
        <w:jc w:val="center"/>
        <w:outlineLvl w:val="0"/>
        <w:rPr>
          <w:rFonts w:ascii="宋体" w:hAnsi="宋体" w:cs="宋体"/>
          <w:b/>
          <w:bCs/>
          <w:color w:val="000000"/>
          <w:kern w:val="36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36"/>
          <w:sz w:val="36"/>
          <w:szCs w:val="36"/>
        </w:rPr>
        <w:t>工业和信息化部办公厅关于开展2022年度国家工业和信息化领域节能技术装备产品推荐工作的通知</w:t>
      </w:r>
    </w:p>
    <w:p w:rsidR="00D72477" w:rsidRDefault="00D72477" w:rsidP="00D72477">
      <w:pPr>
        <w:widowControl/>
        <w:wordWrap w:val="0"/>
        <w:spacing w:line="390" w:lineRule="atLeast"/>
        <w:ind w:firstLine="480"/>
        <w:jc w:val="left"/>
        <w:rPr>
          <w:rFonts w:ascii="宋体" w:hAnsi="宋体" w:cs="宋体"/>
          <w:color w:val="070707"/>
          <w:kern w:val="0"/>
          <w:sz w:val="24"/>
        </w:rPr>
      </w:pPr>
    </w:p>
    <w:p w:rsidR="00D72477" w:rsidRDefault="00D72477" w:rsidP="00D72477">
      <w:pPr>
        <w:widowControl/>
        <w:wordWrap w:val="0"/>
        <w:spacing w:line="390" w:lineRule="atLeast"/>
        <w:jc w:val="left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>各省、自治区、直辖市及计划单列市、新疆生产建设兵团工业和信息化主管部门，各省、自治区、直辖市通信管理局，有关中央企业，有关行业协会:</w:t>
      </w:r>
    </w:p>
    <w:p w:rsidR="00D72477" w:rsidRDefault="00D72477" w:rsidP="00D72477">
      <w:pPr>
        <w:widowControl/>
        <w:wordWrap w:val="0"/>
        <w:spacing w:line="390" w:lineRule="atLeast"/>
        <w:ind w:firstLineChars="200" w:firstLine="640"/>
        <w:jc w:val="left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>为贯彻落实《“十四五”工业绿色发展规划》，加快推广应用先进适用节能技术装备产品，促进企业节能减碳、降本增效，推动工业和信息化领域能效提升，现组织开展2022年度国家工业和信息化领域节能技术装备产品推荐工作，有关事项通知如下：</w:t>
      </w:r>
    </w:p>
    <w:p w:rsidR="00D72477" w:rsidRDefault="00D72477" w:rsidP="00D72477">
      <w:pPr>
        <w:widowControl/>
        <w:wordWrap w:val="0"/>
        <w:spacing w:line="390" w:lineRule="atLeast"/>
        <w:ind w:firstLineChars="200" w:firstLine="640"/>
        <w:jc w:val="left"/>
        <w:rPr>
          <w:rFonts w:ascii="黑体" w:eastAsia="黑体" w:hAnsi="黑体" w:cs="宋体"/>
          <w:color w:val="070707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70707"/>
          <w:kern w:val="0"/>
          <w:sz w:val="32"/>
          <w:szCs w:val="32"/>
        </w:rPr>
        <w:t>一、申报要求</w:t>
      </w:r>
    </w:p>
    <w:p w:rsidR="00D72477" w:rsidRDefault="00D72477" w:rsidP="00D72477">
      <w:pPr>
        <w:widowControl/>
        <w:wordWrap w:val="0"/>
        <w:spacing w:line="390" w:lineRule="atLeast"/>
        <w:ind w:firstLineChars="200" w:firstLine="640"/>
        <w:jc w:val="left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>推荐的节能技术、装备和产品应满足“十四五”时期我国工业和信息化领域节能提效与绿色低碳发展需求，具备能效水平先进、技术成熟可靠、节能经济性好、推广应用潜力大等特点，特别是推荐一批达到国际先进水平、能够实现全流程系统节能提效的关键核心技术。具体包括三类：</w:t>
      </w:r>
    </w:p>
    <w:p w:rsidR="00D72477" w:rsidRDefault="00D72477" w:rsidP="00D72477">
      <w:pPr>
        <w:widowControl/>
        <w:wordWrap w:val="0"/>
        <w:spacing w:line="390" w:lineRule="atLeast"/>
        <w:ind w:firstLine="480"/>
        <w:jc w:val="left"/>
        <w:rPr>
          <w:rFonts w:ascii="楷体" w:eastAsia="楷体" w:hAnsi="楷体" w:cs="宋体"/>
          <w:b/>
          <w:color w:val="070707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70707"/>
          <w:kern w:val="0"/>
          <w:sz w:val="32"/>
          <w:szCs w:val="32"/>
        </w:rPr>
        <w:t>（一）工业节能技术</w:t>
      </w:r>
    </w:p>
    <w:p w:rsidR="00D72477" w:rsidRDefault="00D72477" w:rsidP="00D72477">
      <w:pPr>
        <w:widowControl/>
        <w:wordWrap w:val="0"/>
        <w:spacing w:line="390" w:lineRule="atLeast"/>
        <w:ind w:firstLineChars="200" w:firstLine="640"/>
        <w:jc w:val="left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>一是钢铁、有色金属、石化、化工、建材、机械、电子、轻工、纺织等行业广泛应用的生产过程节能新工艺或工艺替代技术，重点工序或关键设备革新优化技术，工艺系统集成</w:t>
      </w: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lastRenderedPageBreak/>
        <w:t>优化技术等。二是煤炭等化石能源清洁高效利用、可再生能源利用、工业绿色微电网、储能应用、氢能高效制备及利用、原燃料替代等能源清洁高效利用技术。三是系统能源梯级利用、余热余压余气回收利用技术等能源回收利用技术。</w:t>
      </w:r>
    </w:p>
    <w:p w:rsidR="00D72477" w:rsidRDefault="00D72477" w:rsidP="00D72477">
      <w:pPr>
        <w:widowControl/>
        <w:wordWrap w:val="0"/>
        <w:spacing w:line="390" w:lineRule="atLeast"/>
        <w:ind w:firstLine="480"/>
        <w:jc w:val="left"/>
        <w:rPr>
          <w:rFonts w:ascii="楷体" w:eastAsia="楷体" w:hAnsi="楷体" w:cs="宋体"/>
          <w:b/>
          <w:color w:val="070707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70707"/>
          <w:kern w:val="0"/>
          <w:sz w:val="32"/>
          <w:szCs w:val="32"/>
        </w:rPr>
        <w:t>（二）信息化领域节能技术</w:t>
      </w:r>
    </w:p>
    <w:p w:rsidR="00D72477" w:rsidRDefault="00D72477" w:rsidP="00D72477">
      <w:pPr>
        <w:widowControl/>
        <w:wordWrap w:val="0"/>
        <w:spacing w:line="390" w:lineRule="atLeast"/>
        <w:ind w:firstLineChars="200" w:firstLine="640"/>
        <w:jc w:val="left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>一是数据中心、通信基站、通信机房等重点用能设施节能提效与绿色低碳相关技术，包括用于提升通信网络各类设备能效及系统能源资源利用效率，促进优先利用可再生能源或自然冷源，以及用于促进数据中心提升能源资源利用效率，提高服务器利用率，加强可再生能源利用、分布式供能和微电网建设，利用余热余能、电池储能及梯次利用相关技术和产品等。二是利用5G、工业互联网、大数据等新一代信息技术实现能量流、物质流等信息采集监控、智能分析、精细管理、系统优化，提升能源、资源、环境管理水平的数字化绿色化协同转型技术等。</w:t>
      </w:r>
    </w:p>
    <w:p w:rsidR="00D72477" w:rsidRDefault="00D72477" w:rsidP="00D72477">
      <w:pPr>
        <w:widowControl/>
        <w:wordWrap w:val="0"/>
        <w:spacing w:line="390" w:lineRule="atLeast"/>
        <w:ind w:firstLine="480"/>
        <w:jc w:val="left"/>
        <w:rPr>
          <w:rFonts w:ascii="楷体" w:eastAsia="楷体" w:hAnsi="楷体" w:cs="宋体"/>
          <w:b/>
          <w:color w:val="070707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70707"/>
          <w:kern w:val="0"/>
          <w:sz w:val="32"/>
          <w:szCs w:val="32"/>
        </w:rPr>
        <w:t>（三）高效节能装备和产品</w:t>
      </w:r>
    </w:p>
    <w:p w:rsidR="00D72477" w:rsidRDefault="00D72477" w:rsidP="00D72477">
      <w:pPr>
        <w:widowControl/>
        <w:wordWrap w:val="0"/>
        <w:spacing w:line="390" w:lineRule="atLeast"/>
        <w:ind w:firstLineChars="200" w:firstLine="640"/>
        <w:jc w:val="left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>高效节能装备和产品是指能效指标达到或优于相关国家标准1级能效等级的量产装备或终端产品。高效节能装备包括高效电动机、变压器、工业锅炉、风机、容积式空气压缩机、泵、塑料机械、内燃机等。高效节能产品包括电动洗衣机、热水器、空气调节器、热泵、电冰箱、吸油烟机、燃</w:t>
      </w: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lastRenderedPageBreak/>
        <w:t>气灶具、电饭锅、微波炉、洗碗机、空气净化器、电风扇、换气扇、显示器、智能坐便器等。</w:t>
      </w:r>
    </w:p>
    <w:p w:rsidR="00D72477" w:rsidRDefault="00D72477" w:rsidP="00D72477">
      <w:pPr>
        <w:widowControl/>
        <w:wordWrap w:val="0"/>
        <w:spacing w:line="390" w:lineRule="atLeast"/>
        <w:ind w:firstLineChars="200" w:firstLine="640"/>
        <w:jc w:val="left"/>
        <w:rPr>
          <w:rFonts w:ascii="黑体" w:eastAsia="黑体" w:hAnsi="黑体" w:cs="宋体"/>
          <w:color w:val="070707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70707"/>
          <w:kern w:val="0"/>
          <w:sz w:val="32"/>
          <w:szCs w:val="32"/>
        </w:rPr>
        <w:t>二、申报程序</w:t>
      </w:r>
    </w:p>
    <w:p w:rsidR="00D72477" w:rsidRDefault="00D72477" w:rsidP="00D72477">
      <w:pPr>
        <w:widowControl/>
        <w:wordWrap w:val="0"/>
        <w:spacing w:line="390" w:lineRule="atLeast"/>
        <w:ind w:firstLineChars="200" w:firstLine="640"/>
        <w:jc w:val="left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>请各省、自治区、直辖市及计划单列市、新疆生产建设兵团工业和信息化主管部门，各省、自治区、直辖市通信管理局组织本地区相关单位进行申报，分类填报节能技术装备产品申报书（附件2、3、4），对申报材料审核后择优推荐，于2022年8月26日前将汇总表（附件1）和申报材料（纸质版一式两份）寄送至工业和信息化部（节能与综合利用司），电子版材料同时通过“工业节能与绿色发展管理平台”（https://green.miit.gov.cn）上传报送，现场答辩相关要求另行通知。</w:t>
      </w:r>
    </w:p>
    <w:p w:rsidR="00D72477" w:rsidRDefault="00D72477" w:rsidP="00D72477">
      <w:pPr>
        <w:widowControl/>
        <w:wordWrap w:val="0"/>
        <w:spacing w:line="390" w:lineRule="atLeast"/>
        <w:ind w:firstLineChars="200" w:firstLine="640"/>
        <w:jc w:val="left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>有关全国性行业协会、中央企业参照前述程序，分别组织本行业、本集团申报工作。</w:t>
      </w:r>
    </w:p>
    <w:p w:rsidR="00D72477" w:rsidRDefault="00D72477" w:rsidP="00D72477">
      <w:pPr>
        <w:widowControl/>
        <w:wordWrap w:val="0"/>
        <w:spacing w:line="390" w:lineRule="atLeast"/>
        <w:ind w:firstLineChars="200" w:firstLine="640"/>
        <w:jc w:val="left"/>
        <w:rPr>
          <w:rFonts w:ascii="仿宋" w:eastAsia="仿宋" w:hAnsi="仿宋" w:cs="宋体"/>
          <w:color w:val="070707"/>
          <w:kern w:val="0"/>
          <w:sz w:val="32"/>
          <w:szCs w:val="32"/>
        </w:rPr>
      </w:pPr>
    </w:p>
    <w:p w:rsidR="00D72477" w:rsidRDefault="00D72477" w:rsidP="00D72477">
      <w:pPr>
        <w:widowControl/>
        <w:wordWrap w:val="0"/>
        <w:spacing w:line="390" w:lineRule="atLeast"/>
        <w:ind w:firstLine="480"/>
        <w:jc w:val="left"/>
        <w:rPr>
          <w:rFonts w:ascii="宋体" w:hAnsi="宋体" w:cs="宋体"/>
          <w:color w:val="070707"/>
          <w:kern w:val="0"/>
          <w:sz w:val="24"/>
        </w:rPr>
      </w:pPr>
    </w:p>
    <w:p w:rsidR="00D72477" w:rsidRDefault="00D72477" w:rsidP="00D72477">
      <w:pPr>
        <w:widowControl/>
        <w:wordWrap w:val="0"/>
        <w:spacing w:line="390" w:lineRule="atLeast"/>
        <w:jc w:val="right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>工业和信息化部办公厅</w:t>
      </w:r>
    </w:p>
    <w:p w:rsidR="00D72477" w:rsidRDefault="00D72477" w:rsidP="00D72477">
      <w:pPr>
        <w:widowControl/>
        <w:wordWrap w:val="0"/>
        <w:spacing w:line="390" w:lineRule="atLeast"/>
        <w:jc w:val="right"/>
        <w:rPr>
          <w:rFonts w:ascii="仿宋" w:eastAsia="仿宋" w:hAnsi="仿宋" w:cs="宋体"/>
          <w:color w:val="07070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70707"/>
          <w:kern w:val="0"/>
          <w:sz w:val="32"/>
          <w:szCs w:val="32"/>
        </w:rPr>
        <w:t>2022年6月14日</w:t>
      </w:r>
    </w:p>
    <w:p w:rsidR="00D72477" w:rsidRDefault="00D72477" w:rsidP="00D72477">
      <w:pPr>
        <w:pStyle w:val="1"/>
        <w:keepNext w:val="0"/>
        <w:keepLines w:val="0"/>
        <w:spacing w:before="0" w:after="0" w:line="480" w:lineRule="atLeast"/>
        <w:rPr>
          <w:rFonts w:ascii="黑体" w:eastAsia="黑体" w:hAnsi="黑体" w:cs="黑体"/>
          <w:b w:val="0"/>
          <w:sz w:val="32"/>
          <w:szCs w:val="32"/>
        </w:rPr>
      </w:pPr>
    </w:p>
    <w:p w:rsidR="00D72477" w:rsidRDefault="00D72477" w:rsidP="00D72477">
      <w:pPr>
        <w:pStyle w:val="1"/>
        <w:keepNext w:val="0"/>
        <w:keepLines w:val="0"/>
        <w:spacing w:before="0" w:after="0" w:line="480" w:lineRule="atLeast"/>
        <w:rPr>
          <w:rFonts w:ascii="黑体" w:eastAsia="黑体" w:hAnsi="黑体" w:cs="黑体"/>
          <w:b w:val="0"/>
          <w:sz w:val="32"/>
          <w:szCs w:val="32"/>
        </w:rPr>
      </w:pPr>
    </w:p>
    <w:p w:rsidR="00D72477" w:rsidRDefault="00D72477" w:rsidP="00D72477">
      <w:pPr>
        <w:pStyle w:val="1"/>
        <w:keepNext w:val="0"/>
        <w:keepLines w:val="0"/>
        <w:spacing w:before="0" w:after="0" w:line="480" w:lineRule="atLeast"/>
        <w:rPr>
          <w:rFonts w:ascii="黑体" w:eastAsia="黑体" w:hAnsi="黑体" w:cs="黑体"/>
          <w:b w:val="0"/>
          <w:sz w:val="32"/>
          <w:szCs w:val="32"/>
        </w:rPr>
      </w:pPr>
    </w:p>
    <w:p w:rsidR="00D72477" w:rsidRDefault="00D72477" w:rsidP="00D72477">
      <w:pPr>
        <w:pStyle w:val="1"/>
        <w:keepNext w:val="0"/>
        <w:keepLines w:val="0"/>
        <w:spacing w:before="0" w:after="0" w:line="480" w:lineRule="atLeast"/>
        <w:rPr>
          <w:rFonts w:ascii="黑体" w:eastAsia="黑体" w:hAnsi="黑体" w:cs="黑体"/>
          <w:b w:val="0"/>
          <w:sz w:val="32"/>
          <w:szCs w:val="32"/>
        </w:rPr>
      </w:pPr>
    </w:p>
    <w:bookmarkEnd w:id="0"/>
    <w:p w:rsidR="00D72477" w:rsidRDefault="00D72477" w:rsidP="00D72477">
      <w:pPr>
        <w:spacing w:line="20" w:lineRule="exact"/>
        <w:rPr>
          <w:rFonts w:ascii="宋体" w:hAnsi="宋体"/>
        </w:rPr>
      </w:pPr>
    </w:p>
    <w:p w:rsidR="009F11F8" w:rsidRPr="00D72477" w:rsidRDefault="009F11F8">
      <w:bookmarkStart w:id="1" w:name="_GoBack"/>
      <w:bookmarkEnd w:id="1"/>
    </w:p>
    <w:sectPr w:rsidR="009F11F8" w:rsidRPr="00D72477">
      <w:headerReference w:type="default" r:id="rId7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91" w:rsidRDefault="00AB1091" w:rsidP="00D72477">
      <w:r>
        <w:separator/>
      </w:r>
    </w:p>
  </w:endnote>
  <w:endnote w:type="continuationSeparator" w:id="0">
    <w:p w:rsidR="00AB1091" w:rsidRDefault="00AB1091" w:rsidP="00D7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91" w:rsidRDefault="00AB1091" w:rsidP="00D72477">
      <w:r>
        <w:separator/>
      </w:r>
    </w:p>
  </w:footnote>
  <w:footnote w:type="continuationSeparator" w:id="0">
    <w:p w:rsidR="00AB1091" w:rsidRDefault="00AB1091" w:rsidP="00D7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40" w:rsidRDefault="00AB109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AD"/>
    <w:rsid w:val="003E5AAD"/>
    <w:rsid w:val="009F11F8"/>
    <w:rsid w:val="00AB1091"/>
    <w:rsid w:val="00C529A3"/>
    <w:rsid w:val="00D261E4"/>
    <w:rsid w:val="00D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77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qFormat/>
    <w:rsid w:val="00D724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7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D72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477"/>
    <w:rPr>
      <w:sz w:val="18"/>
      <w:szCs w:val="18"/>
    </w:rPr>
  </w:style>
  <w:style w:type="character" w:customStyle="1" w:styleId="1Char">
    <w:name w:val="标题 1 Char"/>
    <w:basedOn w:val="a0"/>
    <w:link w:val="1"/>
    <w:rsid w:val="00D7247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77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qFormat/>
    <w:rsid w:val="00D724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7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D72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477"/>
    <w:rPr>
      <w:sz w:val="18"/>
      <w:szCs w:val="18"/>
    </w:rPr>
  </w:style>
  <w:style w:type="character" w:customStyle="1" w:styleId="1Char">
    <w:name w:val="标题 1 Char"/>
    <w:basedOn w:val="a0"/>
    <w:link w:val="1"/>
    <w:rsid w:val="00D7247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2022-06-29T07:46:00Z</dcterms:created>
  <dcterms:modified xsi:type="dcterms:W3CDTF">2022-06-29T07:46:00Z</dcterms:modified>
</cp:coreProperties>
</file>